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附件</w:t>
      </w:r>
      <w:r>
        <w:rPr>
          <w:rFonts w:ascii="仿宋" w:hAnsi="仿宋" w:eastAsia="仿宋"/>
          <w:color w:val="000000" w:themeColor="text1"/>
          <w:sz w:val="32"/>
          <w:szCs w:val="32"/>
          <w14:textFill>
            <w14:solidFill>
              <w14:schemeClr w14:val="tx1"/>
            </w14:solidFill>
          </w14:textFill>
        </w:rPr>
        <w:t>3</w:t>
      </w:r>
      <w:r>
        <w:rPr>
          <w:rFonts w:hint="eastAsia" w:ascii="仿宋" w:hAnsi="仿宋" w:eastAsia="仿宋"/>
          <w:color w:val="000000" w:themeColor="text1"/>
          <w:sz w:val="32"/>
          <w:szCs w:val="32"/>
          <w14:textFill>
            <w14:solidFill>
              <w14:schemeClr w14:val="tx1"/>
            </w14:solidFill>
          </w14:textFill>
        </w:rPr>
        <w:t>：</w:t>
      </w:r>
    </w:p>
    <w:p>
      <w:pPr>
        <w:spacing w:line="560" w:lineRule="exact"/>
        <w:jc w:val="left"/>
        <w:rPr>
          <w:rFonts w:ascii="仿宋" w:hAnsi="仿宋" w:eastAsia="仿宋"/>
          <w:color w:val="000000" w:themeColor="text1"/>
          <w:sz w:val="32"/>
          <w:szCs w:val="32"/>
          <w14:textFill>
            <w14:solidFill>
              <w14:schemeClr w14:val="tx1"/>
            </w14:solidFill>
          </w14:textFill>
        </w:rPr>
      </w:pPr>
    </w:p>
    <w:p>
      <w:pPr>
        <w:spacing w:line="560" w:lineRule="exact"/>
        <w:jc w:val="center"/>
        <w:rPr>
          <w:rFonts w:ascii="宋体" w:hAnsi="宋体"/>
          <w:b/>
          <w:color w:val="000000" w:themeColor="text1"/>
          <w:sz w:val="44"/>
          <w:szCs w:val="44"/>
          <w14:textFill>
            <w14:solidFill>
              <w14:schemeClr w14:val="tx1"/>
            </w14:solidFill>
          </w14:textFill>
        </w:rPr>
      </w:pPr>
      <w:r>
        <w:rPr>
          <w:rFonts w:hint="eastAsia" w:ascii="宋体" w:hAnsi="宋体"/>
          <w:b/>
          <w:color w:val="000000" w:themeColor="text1"/>
          <w:sz w:val="44"/>
          <w:szCs w:val="44"/>
          <w14:textFill>
            <w14:solidFill>
              <w14:schemeClr w14:val="tx1"/>
            </w14:solidFill>
          </w14:textFill>
        </w:rPr>
        <w:t>广东省纺织工程专业高技能人才</w:t>
      </w:r>
    </w:p>
    <w:p>
      <w:pPr>
        <w:spacing w:line="560" w:lineRule="exact"/>
        <w:jc w:val="center"/>
        <w:rPr>
          <w:rFonts w:ascii="宋体" w:hAnsi="宋体"/>
          <w:b/>
          <w:color w:val="000000" w:themeColor="text1"/>
          <w:sz w:val="44"/>
          <w:szCs w:val="44"/>
          <w14:textFill>
            <w14:solidFill>
              <w14:schemeClr w14:val="tx1"/>
            </w14:solidFill>
          </w14:textFill>
        </w:rPr>
      </w:pPr>
      <w:r>
        <w:rPr>
          <w:rFonts w:hint="eastAsia" w:ascii="宋体" w:hAnsi="宋体"/>
          <w:b/>
          <w:color w:val="000000" w:themeColor="text1"/>
          <w:sz w:val="44"/>
          <w:szCs w:val="44"/>
          <w14:textFill>
            <w14:solidFill>
              <w14:schemeClr w14:val="tx1"/>
            </w14:solidFill>
          </w14:textFill>
        </w:rPr>
        <w:t xml:space="preserve">    </w:t>
      </w:r>
      <w:bookmarkStart w:id="0" w:name="_GoBack"/>
      <w:r>
        <w:rPr>
          <w:rFonts w:hint="eastAsia" w:ascii="宋体" w:hAnsi="宋体"/>
          <w:b/>
          <w:color w:val="000000" w:themeColor="text1"/>
          <w:sz w:val="44"/>
          <w:szCs w:val="44"/>
          <w14:textFill>
            <w14:solidFill>
              <w14:schemeClr w14:val="tx1"/>
            </w14:solidFill>
          </w14:textFill>
        </w:rPr>
        <w:t xml:space="preserve"> 职称评价标准条件（试行）</w:t>
      </w:r>
      <w:bookmarkEnd w:id="0"/>
    </w:p>
    <w:p>
      <w:pPr>
        <w:snapToGrid w:val="0"/>
        <w:spacing w:line="560" w:lineRule="exact"/>
        <w:jc w:val="center"/>
        <w:rPr>
          <w:rFonts w:ascii="仿宋_GB2312" w:hAnsi="仿宋_GB2312" w:eastAsia="仿宋_GB2312" w:cs="仿宋_GB2312"/>
          <w:b/>
          <w:color w:val="000000" w:themeColor="text1"/>
          <w:sz w:val="30"/>
          <w:szCs w:val="30"/>
          <w14:textFill>
            <w14:solidFill>
              <w14:schemeClr w14:val="tx1"/>
            </w14:solidFill>
          </w14:textFill>
        </w:rPr>
      </w:pPr>
    </w:p>
    <w:p>
      <w:pPr>
        <w:snapToGrid w:val="0"/>
        <w:spacing w:line="560" w:lineRule="exact"/>
        <w:jc w:val="center"/>
        <w:rPr>
          <w:rFonts w:ascii="黑体" w:hAnsi="黑体" w:eastAsia="黑体" w:cs="仿宋_GB2312"/>
          <w:b/>
          <w:color w:val="000000" w:themeColor="text1"/>
          <w:sz w:val="32"/>
          <w:szCs w:val="32"/>
          <w14:textFill>
            <w14:solidFill>
              <w14:schemeClr w14:val="tx1"/>
            </w14:solidFill>
          </w14:textFill>
        </w:rPr>
      </w:pPr>
      <w:r>
        <w:rPr>
          <w:rFonts w:hint="eastAsia" w:ascii="黑体" w:hAnsi="黑体" w:eastAsia="黑体" w:cs="仿宋_GB2312"/>
          <w:b/>
          <w:color w:val="000000" w:themeColor="text1"/>
          <w:sz w:val="32"/>
          <w:szCs w:val="32"/>
          <w14:textFill>
            <w14:solidFill>
              <w14:schemeClr w14:val="tx1"/>
            </w14:solidFill>
          </w14:textFill>
        </w:rPr>
        <w:t>第一章 适用范围</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本评价办法适用于在广东省企事业单位纺织类专业技术领域和生产一线岗位，从事技术技能工作，具有较高技艺技能，能够进行创造性劳动，并作出贡献的在职在岗高技能人才申报工程技术职称资格的评审，同时鼓励符合相应条件的专业技术人才参加职业技能评价。</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纺织工程领域职称设置</w:t>
      </w:r>
      <w:r>
        <w:rPr>
          <w:rFonts w:ascii="仿宋" w:hAnsi="仿宋" w:eastAsia="仿宋"/>
          <w:color w:val="000000" w:themeColor="text1"/>
          <w:sz w:val="32"/>
          <w:szCs w:val="32"/>
          <w14:textFill>
            <w14:solidFill>
              <w14:schemeClr w14:val="tx1"/>
            </w14:solidFill>
          </w14:textFill>
        </w:rPr>
        <w:t>纺织工程、染整工程、纺织装备、服装工程四</w:t>
      </w:r>
      <w:r>
        <w:rPr>
          <w:rFonts w:hint="eastAsia" w:ascii="仿宋" w:hAnsi="仿宋" w:eastAsia="仿宋"/>
          <w:color w:val="000000" w:themeColor="text1"/>
          <w:sz w:val="32"/>
          <w:szCs w:val="32"/>
          <w14:textFill>
            <w14:solidFill>
              <w14:schemeClr w14:val="tx1"/>
            </w14:solidFill>
          </w14:textFill>
        </w:rPr>
        <w:t>个</w:t>
      </w:r>
      <w:r>
        <w:rPr>
          <w:rFonts w:ascii="仿宋" w:hAnsi="仿宋" w:eastAsia="仿宋"/>
          <w:color w:val="000000" w:themeColor="text1"/>
          <w:sz w:val="32"/>
          <w:szCs w:val="32"/>
          <w14:textFill>
            <w14:solidFill>
              <w14:schemeClr w14:val="tx1"/>
            </w14:solidFill>
          </w14:textFill>
        </w:rPr>
        <w:t>专业（以下简称为“本专业”）。</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纺织工程专业包括天然纤维、化学纤维、纺纱、织造、非织造、丝绸、纺织标准化的生产加工技术、生产工艺、设备维修管理、纺织智能设计与制造、研发设计等技术技能岗位；</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染整工程专业包括染整工艺、印花工艺、轻化工技术、印染助剂技术、印染设备维修管理、印染生产加工管理、印染智能设计与制造管理、印染污染物处理等技术技能岗位；</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纺织装备专业包括纤维设备、纺纱设备、织造设备、非织造设备、印染设备、数码印花设备、丝绸设备、服装设备、动力设备、空调除尘设备、废旧纺织品回用设备、智能化流水生产线、纺织印染污染物处理设备等的开发设计、生产制造、应用推广等技术技能岗位；</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服装工程专业包括服装、家用纺织品设计与工程、服装结构与工艺、服装标准化生产与加工技术、设备维修管理、服装（家用纺织品）智能设计与制造、编织加工等技术技能岗位。</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以上专业设置可根据科技发展和工程技术工作实际变化和需要进行合理调整。</w:t>
      </w:r>
    </w:p>
    <w:p>
      <w:pPr>
        <w:pStyle w:val="9"/>
        <w:adjustRightInd w:val="0"/>
        <w:snapToGrid w:val="0"/>
        <w:spacing w:line="560" w:lineRule="exact"/>
        <w:jc w:val="both"/>
        <w:rPr>
          <w:rFonts w:ascii="仿宋" w:hAnsi="仿宋" w:eastAsia="仿宋" w:cs="仿宋_GB2312"/>
          <w:b/>
          <w:bCs/>
          <w:color w:val="000000" w:themeColor="text1"/>
          <w:sz w:val="32"/>
          <w:szCs w:val="32"/>
          <w:lang w:val="en-US"/>
          <w14:textFill>
            <w14:solidFill>
              <w14:schemeClr w14:val="tx1"/>
            </w14:solidFill>
          </w14:textFill>
        </w:rPr>
      </w:pPr>
    </w:p>
    <w:p>
      <w:pPr>
        <w:pStyle w:val="9"/>
        <w:adjustRightInd w:val="0"/>
        <w:snapToGrid w:val="0"/>
        <w:spacing w:line="560" w:lineRule="exact"/>
        <w:jc w:val="center"/>
        <w:rPr>
          <w:rFonts w:ascii="黑体" w:hAnsi="黑体" w:eastAsia="黑体" w:cs="仿宋_GB2312"/>
          <w:b/>
          <w:bCs/>
          <w:color w:val="000000" w:themeColor="text1"/>
          <w:sz w:val="32"/>
          <w:szCs w:val="32"/>
          <w:lang w:val="en-US"/>
          <w14:textFill>
            <w14:solidFill>
              <w14:schemeClr w14:val="tx1"/>
            </w14:solidFill>
          </w14:textFill>
        </w:rPr>
      </w:pPr>
      <w:r>
        <w:rPr>
          <w:rFonts w:hint="eastAsia" w:ascii="黑体" w:hAnsi="黑体" w:eastAsia="黑体" w:cs="仿宋_GB2312"/>
          <w:b/>
          <w:bCs/>
          <w:color w:val="000000" w:themeColor="text1"/>
          <w:sz w:val="32"/>
          <w:szCs w:val="32"/>
          <w:lang w:val="en-US"/>
          <w14:textFill>
            <w14:solidFill>
              <w14:schemeClr w14:val="tx1"/>
            </w14:solidFill>
          </w14:textFill>
        </w:rPr>
        <w:t>第二章 基本条件</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一、拥护中国共产党的领导，遵守中华人民共和国宪法和法律法规、规章以及单位制度，积极投身新时代中国特色社会主义现代化强国建设。</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二、热爱本职工作，认真履行岗位职责，具有良好的职业道德、敬业奉献，作风端正。</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三、身心健康，具备从事工程技术技能工作的身体条件。</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四、取得高级工以上相关职业资格或职业技能等级，在现工作岗位上近3年年度考核合格。</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五、职称外语和计算机应用能力不作要求。</w:t>
      </w:r>
    </w:p>
    <w:p>
      <w:pPr>
        <w:ind w:firstLine="640" w:firstLineChars="200"/>
        <w:rPr>
          <w:rFonts w:ascii="仿宋" w:hAnsi="仿宋" w:eastAsia="仿宋"/>
          <w:color w:val="000000" w:themeColor="text1"/>
          <w:sz w:val="32"/>
          <w:szCs w:val="32"/>
          <w14:textFill>
            <w14:solidFill>
              <w14:schemeClr w14:val="tx1"/>
            </w14:solidFill>
          </w14:textFill>
        </w:rPr>
      </w:pPr>
    </w:p>
    <w:p>
      <w:pPr>
        <w:adjustRightInd w:val="0"/>
        <w:snapToGrid w:val="0"/>
        <w:spacing w:line="560" w:lineRule="exact"/>
        <w:jc w:val="center"/>
        <w:rPr>
          <w:rFonts w:ascii="黑体" w:hAnsi="黑体" w:eastAsia="黑体" w:cs="仿宋_GB2312"/>
          <w:b/>
          <w:bCs/>
          <w:color w:val="000000" w:themeColor="text1"/>
          <w:sz w:val="32"/>
          <w:szCs w:val="32"/>
          <w14:textFill>
            <w14:solidFill>
              <w14:schemeClr w14:val="tx1"/>
            </w14:solidFill>
          </w14:textFill>
        </w:rPr>
      </w:pPr>
      <w:r>
        <w:rPr>
          <w:rFonts w:hint="eastAsia" w:ascii="黑体" w:hAnsi="黑体" w:eastAsia="黑体" w:cs="仿宋_GB2312"/>
          <w:b/>
          <w:bCs/>
          <w:color w:val="000000" w:themeColor="text1"/>
          <w:sz w:val="32"/>
          <w:szCs w:val="32"/>
          <w14:textFill>
            <w14:solidFill>
              <w14:schemeClr w14:val="tx1"/>
            </w14:solidFill>
          </w14:textFill>
        </w:rPr>
        <w:t>第三章 评价条件</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本专业职称分为三个级别，初级职称（助理工程师）、中级职称（工程师）、高级职称（高级工程师、正高级工程师）。</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本专业高技能人才申报相应级别职称，除必须达到上述基本条件外，还应分别具备以下条件：</w:t>
      </w:r>
    </w:p>
    <w:p>
      <w:pPr>
        <w:ind w:firstLine="643" w:firstLineChars="200"/>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一、助理工程师</w:t>
      </w:r>
    </w:p>
    <w:p>
      <w:pPr>
        <w:ind w:firstLine="643" w:firstLineChars="200"/>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（一）资历条件</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取得相应高级工职业（工种）资格或职业技能等级后，从事相应专业技术技能工作满2年。</w:t>
      </w:r>
    </w:p>
    <w:p>
      <w:pPr>
        <w:ind w:firstLine="643" w:firstLineChars="200"/>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（二）工作能力（经历）条件</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掌握本专业基础理论和专业技术知识，能独立完成一般性技术工作，并能处理一般项目、工程中存在的技术难题；具有指导和培训技术员或高级工的能力。</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符合下列条件之一：</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1.参与市级一类技能竞赛1项及以上的队员或教练。</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2.在本职业（工种）中，具备本技术技能一定水平，能传授本职业（工种）技术技能，带过现工作单位1名以上徒弟（以师徒协议为准）。</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3.参与本专业技术革新、技术改造项目1项及以上。</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4.参与本专业小型技术项目的设计、安装调试或试验1项及以上。</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5.参与1个及以上的新产品开发，或1项及以上新技术的市场应用推广工作。</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以上均需提供单位证明。</w:t>
      </w:r>
    </w:p>
    <w:p>
      <w:pPr>
        <w:ind w:firstLine="643" w:firstLineChars="200"/>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（三）业绩成果条件</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 xml:space="preserve">符合下列条件之一：                     </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1.获得省级二类及以上技能竞赛金、银、铜牌或一等、二等、三等奖的选手或教练（以公布文件为准）。</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2.获得市级一类技能竞赛金、银牌或一、二等奖的选手或教练（以公布文件为准）。</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3.获得市级或以上技术能手称号（以证书为准）。</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4.在岗位工作中，取得创新性成果1项及以上，获得同行的好评和单位认可表彰（以证书为准），或者获得较好经济和社会效益的本专业实用新型专利1件（专利权人）或外观专利1件。</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5.参与完成本专业市级及以上行业协会（学会）团体标准或专业规程、技术规范等的编写工作1项及以上，并公开发布实施。</w:t>
      </w:r>
    </w:p>
    <w:p>
      <w:pPr>
        <w:ind w:firstLine="643" w:firstLineChars="200"/>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二、工程师</w:t>
      </w:r>
    </w:p>
    <w:p>
      <w:pPr>
        <w:ind w:firstLine="643" w:firstLineChars="200"/>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（一）资历条件</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取得相应职业（工种）技师职业资格或职业技能等级后，从事相应专业技术技能工作满3年。</w:t>
      </w:r>
    </w:p>
    <w:p>
      <w:pPr>
        <w:ind w:firstLine="643" w:firstLineChars="200"/>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（二）工作能力（经历）条件</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熟悉本专业行业发展动态，参加企业重大技术改造、设备改进、工艺改进、产品质量改进等工程或科研项目全过程，或主持小型项目的方案论证、设计、实施、成果报告等全过程；参与处理过较复杂的生产技术工艺、产品质量和安全生产等技术问题；具有指导和培训助理工程师或技师的能力。</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任现职以来，符合下列条件之一：</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1.参与省级二类（或纺织行业）技能竞赛1项及以上的队员或教练。</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2.在本职业（工种）中，具备较高技术技能水平，能传授本专业技术技能，在现工作单位指导学徒3名以上（以师徒协议为准）。</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3.掌握本专业生产技术或管理方法，负责或组织处理过生产技术或管理中出现的较复杂的问题2项及以上，并取得较好效果，受到单位表彰。</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4．作为主要完成人(前3名）参加本单位技术改造工作2项及以上，取得显著成绩，受到单位表彰。</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5．作为主要完成人(前3名）承担新技术、新工艺、新产品、新设备、新材料开发和推广应用2项及以上，取得较显著成绩并受到单位表彰。</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6.在企业、同行业中，具有先进的技术技能水平，并在本行业生产工作领域总结出先进的技术操作方法。</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7.担任市级及以上级别技能大师工作室主持人。</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以上均需提供单位证明。</w:t>
      </w:r>
    </w:p>
    <w:p>
      <w:pPr>
        <w:ind w:firstLine="643" w:firstLineChars="200"/>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（三）业绩成果条件</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任现职以来，符合下列条件之一：</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1.世界技能大赛国家集训队的队员（以公布文件为准）。</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2.获得国家级二类及以上技能竞赛金、银、铜牌或一等、二等、三等奖的选手或教练（以公布文件为准）。</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3.获得省级一类及以上技能竞赛金、银、铜牌或一等、二等、三等奖的选手或教练（以公布文件为准）。</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4.获得省级二类（或纺织行业）及以上竞赛金牌或一等奖的选手或教练（以公布文件为准）。</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5.获得省级（或纺织行业）以上技术能手等荣誉称号。</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6.市（厅）级以上科技奖项或成果奖项获奖项目的主要完成人（以奖励证书为准）。</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7.作为主要完成人(前3名），在2项及以上新产品设计、工艺流程改进、新设备选用、新产品（新品种）开发，扩大应用新领域、提高生产效率、提高产品质量、降低消耗、减少三废排放等本专业某一生产、技术、管理方面的工作中，做出成绩，取得较好的经济和社会效益。</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8.获得授权发明专利1件或实用新型专利2件。</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9.参加完成本专业行业标准1项及以上，或本专业市级及以上行业协会（学会）团体标准2项及以上（均排名前5名），并公开发布实施。</w:t>
      </w:r>
    </w:p>
    <w:p>
      <w:pPr>
        <w:ind w:firstLine="643" w:firstLineChars="200"/>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（四）学术成果条件</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任现职以来，符合下列条件之一：</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1.参与编写企业与本专业相关技术规范、规程、标准或教材、技术手册或操作手册1部（已在企业内部实施）或技术报告、技术工艺改进方案、解决工作难题的案例报告1份（均前5名）。</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2.独立或作为主要撰写人撰写具有较高水平和实践指导意义的本专业相关工作报告2篇（需行业协会（学会）组织评价认可）。</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3.独立撰写或作为第一作者在专业刊物（含内部刊物和会议论文集）上发表1篇及以上本专业有关的论文。</w:t>
      </w:r>
    </w:p>
    <w:p>
      <w:pPr>
        <w:ind w:firstLine="643" w:firstLineChars="200"/>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三、高级工程师</w:t>
      </w:r>
    </w:p>
    <w:p>
      <w:pPr>
        <w:ind w:firstLine="643" w:firstLineChars="200"/>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（一）资历条件。</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取得相应职业（工种）高级（一级）技师职业资格或职业技能等级后，从事相应专业技术技能工作满4年。</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不具备上述资历条件，工作能历（经历）及业绩成果显置，并具备下列条件之一可破格申报：</w:t>
      </w:r>
    </w:p>
    <w:p>
      <w:pPr>
        <w:pStyle w:val="10"/>
        <w:ind w:firstLine="665" w:firstLineChars="208"/>
        <w:rPr>
          <w:rFonts w:ascii="仿宋_GB2312" w:hAnsi="仿宋" w:eastAsia="仿宋_GB2312"/>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1</w:t>
      </w:r>
      <w:r>
        <w:rPr>
          <w:rFonts w:ascii="仿宋_GB2312" w:hAnsi="仿宋" w:eastAsia="仿宋_GB2312"/>
          <w:color w:val="000000" w:themeColor="text1"/>
          <w:sz w:val="32"/>
          <w:szCs w:val="32"/>
          <w14:textFill>
            <w14:solidFill>
              <w14:schemeClr w14:val="tx1"/>
            </w14:solidFill>
          </w14:textFill>
        </w:rPr>
        <w:t>.</w:t>
      </w:r>
      <w:r>
        <w:rPr>
          <w:rFonts w:hint="eastAsia" w:ascii="仿宋_GB2312" w:hAnsi="仿宋" w:eastAsia="仿宋_GB2312"/>
          <w:color w:val="000000" w:themeColor="text1"/>
          <w:sz w:val="32"/>
          <w:szCs w:val="32"/>
          <w14:textFill>
            <w14:solidFill>
              <w14:schemeClr w14:val="tx1"/>
            </w14:solidFill>
          </w14:textFill>
        </w:rPr>
        <w:t>获得世界技能大赛金、银、铜牌选手。</w:t>
      </w:r>
    </w:p>
    <w:p>
      <w:pPr>
        <w:pStyle w:val="10"/>
        <w:ind w:firstLine="665" w:firstLineChars="208"/>
        <w:rPr>
          <w:rFonts w:ascii="仿宋_GB2312" w:hAnsi="仿宋" w:eastAsia="仿宋_GB2312"/>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2</w:t>
      </w:r>
      <w:r>
        <w:rPr>
          <w:rFonts w:ascii="仿宋_GB2312" w:hAnsi="仿宋" w:eastAsia="仿宋_GB2312"/>
          <w:color w:val="000000" w:themeColor="text1"/>
          <w:sz w:val="32"/>
          <w:szCs w:val="32"/>
          <w14:textFill>
            <w14:solidFill>
              <w14:schemeClr w14:val="tx1"/>
            </w14:solidFill>
          </w14:textFill>
        </w:rPr>
        <w:t>.</w:t>
      </w:r>
      <w:r>
        <w:rPr>
          <w:rFonts w:hint="eastAsia" w:ascii="仿宋_GB2312" w:hAnsi="仿宋" w:eastAsia="仿宋_GB2312"/>
          <w:color w:val="000000" w:themeColor="text1"/>
          <w:sz w:val="32"/>
          <w:szCs w:val="32"/>
          <w14:textFill>
            <w14:solidFill>
              <w14:schemeClr w14:val="tx1"/>
            </w14:solidFill>
          </w14:textFill>
        </w:rPr>
        <w:t>获得全国总工会、共青团中央、全国妇联和省部级表彰的高技能人才。</w:t>
      </w:r>
    </w:p>
    <w:p>
      <w:pPr>
        <w:pStyle w:val="10"/>
        <w:ind w:firstLine="665" w:firstLineChars="208"/>
        <w:rPr>
          <w:rFonts w:ascii="仿宋_GB2312" w:hAnsi="仿宋" w:eastAsia="仿宋_GB2312"/>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3.取得广东省和其他部级技术能手荣誉称号的优秀技能人才，以及被认定为省级非物质文化遗产传统技艺的代表性传承人。</w:t>
      </w:r>
    </w:p>
    <w:p>
      <w:pPr>
        <w:pStyle w:val="10"/>
        <w:ind w:firstLine="665" w:firstLineChars="208"/>
        <w:rPr>
          <w:rFonts w:ascii="仿宋_GB2312" w:hAnsi="仿宋" w:eastAsia="仿宋_GB2312"/>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4</w:t>
      </w:r>
      <w:r>
        <w:rPr>
          <w:rFonts w:ascii="仿宋_GB2312" w:hAnsi="仿宋" w:eastAsia="仿宋_GB2312"/>
          <w:color w:val="000000" w:themeColor="text1"/>
          <w:sz w:val="32"/>
          <w:szCs w:val="32"/>
          <w14:textFill>
            <w14:solidFill>
              <w14:schemeClr w14:val="tx1"/>
            </w14:solidFill>
          </w14:textFill>
        </w:rPr>
        <w:t>.</w:t>
      </w:r>
      <w:r>
        <w:rPr>
          <w:rFonts w:hint="eastAsia" w:ascii="仿宋_GB2312" w:hAnsi="仿宋" w:eastAsia="仿宋_GB2312"/>
          <w:color w:val="000000" w:themeColor="text1"/>
          <w:sz w:val="32"/>
          <w:szCs w:val="32"/>
          <w14:textFill>
            <w14:solidFill>
              <w14:schemeClr w14:val="tx1"/>
            </w14:solidFill>
          </w14:textFill>
        </w:rPr>
        <w:t>国家级或省（部）级科技成果奖、优秀专利奖、优秀新产品奖、优秀设计奖等奖项获奖项目的主要完成人（以奖励证书为准）；或市（厅）级科技进步奖一等奖获奖项目的主要完成人（排名前</w:t>
      </w:r>
      <w:r>
        <w:rPr>
          <w:rFonts w:ascii="仿宋_GB2312" w:hAnsi="仿宋" w:eastAsia="仿宋_GB2312"/>
          <w:color w:val="000000" w:themeColor="text1"/>
          <w:sz w:val="32"/>
          <w:szCs w:val="32"/>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，以奖励证书为准）。</w:t>
      </w:r>
    </w:p>
    <w:p>
      <w:pPr>
        <w:pStyle w:val="10"/>
        <w:ind w:firstLine="665" w:firstLineChars="208"/>
        <w:rPr>
          <w:rFonts w:ascii="仿宋_GB2312" w:hAnsi="仿宋" w:eastAsia="仿宋_GB2312"/>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5</w:t>
      </w:r>
      <w:r>
        <w:rPr>
          <w:rFonts w:ascii="仿宋_GB2312" w:hAnsi="仿宋" w:eastAsia="仿宋_GB2312"/>
          <w:color w:val="000000" w:themeColor="text1"/>
          <w:sz w:val="32"/>
          <w:szCs w:val="32"/>
          <w14:textFill>
            <w14:solidFill>
              <w14:schemeClr w14:val="tx1"/>
            </w14:solidFill>
          </w14:textFill>
        </w:rPr>
        <w:t>.</w:t>
      </w:r>
      <w:r>
        <w:rPr>
          <w:rFonts w:hint="eastAsia" w:ascii="仿宋_GB2312" w:hAnsi="仿宋" w:eastAsia="仿宋_GB2312"/>
          <w:color w:val="000000" w:themeColor="text1"/>
          <w:sz w:val="32"/>
          <w:szCs w:val="32"/>
          <w14:textFill>
            <w14:solidFill>
              <w14:schemeClr w14:val="tx1"/>
            </w14:solidFill>
          </w14:textFill>
        </w:rPr>
        <w:t>获省级以上人才称号者。</w:t>
      </w:r>
    </w:p>
    <w:p>
      <w:pPr>
        <w:pStyle w:val="10"/>
        <w:ind w:firstLine="665" w:firstLineChars="208"/>
        <w:rPr>
          <w:rFonts w:ascii="仿宋_GB2312" w:hAnsi="仿宋" w:eastAsia="仿宋_GB2312"/>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6</w:t>
      </w:r>
      <w:r>
        <w:rPr>
          <w:rFonts w:ascii="仿宋_GB2312" w:hAnsi="仿宋" w:eastAsia="仿宋_GB2312"/>
          <w:color w:val="000000" w:themeColor="text1"/>
          <w:sz w:val="32"/>
          <w:szCs w:val="32"/>
          <w14:textFill>
            <w14:solidFill>
              <w14:schemeClr w14:val="tx1"/>
            </w14:solidFill>
          </w14:textFill>
        </w:rPr>
        <w:t>.</w:t>
      </w:r>
      <w:r>
        <w:rPr>
          <w:rFonts w:hint="eastAsia" w:ascii="仿宋_GB2312" w:hAnsi="仿宋" w:eastAsia="仿宋_GB2312"/>
          <w:color w:val="000000" w:themeColor="text1"/>
          <w:sz w:val="32"/>
          <w:szCs w:val="32"/>
          <w14:textFill>
            <w14:solidFill>
              <w14:schemeClr w14:val="tx1"/>
            </w14:solidFill>
          </w14:textFill>
        </w:rPr>
        <w:t>主持或主要参加国家或省（部）级重大项目的研究、设计、制造、更新改造工作，达到国内先进水平，并取得较显著的技术经济效益和社会效益，得到省级业务主管部门的认可。</w:t>
      </w:r>
    </w:p>
    <w:p>
      <w:pPr>
        <w:ind w:firstLine="643" w:firstLineChars="200"/>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（二）工作能力（经历）条件</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有参加本企业重大技术改进、设备改造、工艺技术和产品质量改进、产品开发项目全过程的经历，或主持过本企业主要生产厂生产技术发展规划、重大生产技术措施项目的制定实施，效果良好。有组织或承担重大工程项目实施或处理重大生产技术问题的经历。</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在指导、培养中青年学术技术骨干方面发挥重要作用，能够指导工程师或技师的工作和学习。</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任现职以来，符合下列条件之一：</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1．参与国家级二类及以上技能竞赛或代表国家参与的国际技能竞赛1项及以上的队员或教练。</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具备本职业（工种）技能绝招绝技，并在发掘整理和传授技术技能方面作出突出贡献，并得到省级行业的认可。能传授本职业（工种）技术技能，有效指导工程师或技师的工作和学习。在现工作单位指导学徒5名以上（以师徒协议为准）。</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3.担任省级以上级别技能大师工作室主持人。</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4．作为主持人或主要技术骨干，参加本行业较高难度、较复杂的新工艺、新技术、新产品的研究开发2项及以上，并得到推广应用和取得较好的经济和社会效益。</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5．在企业的生产、技术管理或新产品、新工艺设计中，作为主持人或主要技术骨干处理过生产过程中的重大生产、管理技术问题，或解决过疑难技术问题2项及以上，或负责过消化、吸收引进国外先进技术、设备2项及以上。</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 xml:space="preserve">6．作为主持人或主要技术骨干，参加重大技术改造项目或大型技术改造项目2项及以上，实施效果良好。                                                                            </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7.在企业、同行业中，具有领先的技术技能水平，并在本行业生产工作领域总结出先进的技术操作方法。</w:t>
      </w:r>
    </w:p>
    <w:p>
      <w:pPr>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以上需提供省级行业的认可证明。</w:t>
      </w:r>
    </w:p>
    <w:p>
      <w:pPr>
        <w:ind w:firstLine="643" w:firstLineChars="200"/>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（三）业绩成果条件</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任现职以来，符合下列条件之一：</w:t>
      </w:r>
    </w:p>
    <w:p>
      <w:pPr>
        <w:ind w:firstLine="640" w:firstLineChars="200"/>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1</w:t>
      </w:r>
      <w:r>
        <w:rPr>
          <w:rFonts w:hint="eastAsia" w:ascii="仿宋" w:hAnsi="仿宋" w:eastAsia="仿宋"/>
          <w:color w:val="000000" w:themeColor="text1"/>
          <w:sz w:val="32"/>
          <w:szCs w:val="32"/>
          <w14:textFill>
            <w14:solidFill>
              <w14:schemeClr w14:val="tx1"/>
            </w14:solidFill>
          </w14:textFill>
        </w:rPr>
        <w:t>．获得国际或国家级一类技能竞赛金、银、铜牌或一等、二等、三等奖的选手或教练（以公布文件为准）。</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2．获得国家级二类技能竞赛金牌、银牌或一等、二等奖的选手或教练（以公布文件为准）。</w:t>
      </w:r>
    </w:p>
    <w:p>
      <w:pPr>
        <w:ind w:firstLine="640" w:firstLineChars="200"/>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3</w:t>
      </w:r>
      <w:r>
        <w:rPr>
          <w:rFonts w:hint="eastAsia" w:ascii="仿宋" w:hAnsi="仿宋" w:eastAsia="仿宋"/>
          <w:color w:val="000000" w:themeColor="text1"/>
          <w:sz w:val="32"/>
          <w:szCs w:val="32"/>
          <w14:textFill>
            <w14:solidFill>
              <w14:schemeClr w14:val="tx1"/>
            </w14:solidFill>
          </w14:textFill>
        </w:rPr>
        <w:t>．获得省级一类技能竞赛金牌或一等奖的选手或教练（以公布文件为准）。</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 xml:space="preserve">4．享受省级及以上政府特殊津贴的优秀高技能人才。                          </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5．国家或省（部）级科学技术奖获奖项目的主要完成人（以奖励证书为准）。</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6．市（厅）级及以上科学技术奖一、二等奖1项或三等奖2项及以上获奖项目的主要完成人（一等奖排名前</w:t>
      </w:r>
      <w:r>
        <w:rPr>
          <w:rFonts w:ascii="仿宋" w:hAnsi="仿宋" w:eastAsia="仿宋"/>
          <w:color w:val="000000" w:themeColor="text1"/>
          <w:sz w:val="32"/>
          <w:szCs w:val="32"/>
          <w14:textFill>
            <w14:solidFill>
              <w14:schemeClr w14:val="tx1"/>
            </w14:solidFill>
          </w14:textFill>
        </w:rPr>
        <w:t>9</w:t>
      </w:r>
      <w:r>
        <w:rPr>
          <w:rFonts w:hint="eastAsia" w:ascii="仿宋" w:hAnsi="仿宋" w:eastAsia="仿宋"/>
          <w:color w:val="000000" w:themeColor="text1"/>
          <w:sz w:val="32"/>
          <w:szCs w:val="32"/>
          <w14:textFill>
            <w14:solidFill>
              <w14:schemeClr w14:val="tx1"/>
            </w14:solidFill>
          </w14:textFill>
        </w:rPr>
        <w:t>、二等奖排名前</w:t>
      </w:r>
      <w:r>
        <w:rPr>
          <w:rFonts w:ascii="仿宋" w:hAnsi="仿宋" w:eastAsia="仿宋"/>
          <w:color w:val="000000" w:themeColor="text1"/>
          <w:sz w:val="32"/>
          <w:szCs w:val="32"/>
          <w14:textFill>
            <w14:solidFill>
              <w14:schemeClr w14:val="tx1"/>
            </w14:solidFill>
          </w14:textFill>
        </w:rPr>
        <w:t>7</w:t>
      </w:r>
      <w:r>
        <w:rPr>
          <w:rFonts w:hint="eastAsia" w:ascii="仿宋" w:hAnsi="仿宋" w:eastAsia="仿宋"/>
          <w:color w:val="000000" w:themeColor="text1"/>
          <w:sz w:val="32"/>
          <w:szCs w:val="32"/>
          <w14:textFill>
            <w14:solidFill>
              <w14:schemeClr w14:val="tx1"/>
            </w14:solidFill>
          </w14:textFill>
        </w:rPr>
        <w:t>、三等奖排名前</w:t>
      </w:r>
      <w:r>
        <w:rPr>
          <w:rFonts w:ascii="仿宋" w:hAnsi="仿宋" w:eastAsia="仿宋"/>
          <w:color w:val="000000" w:themeColor="text1"/>
          <w:sz w:val="32"/>
          <w:szCs w:val="32"/>
          <w14:textFill>
            <w14:solidFill>
              <w14:schemeClr w14:val="tx1"/>
            </w14:solidFill>
          </w14:textFill>
        </w:rPr>
        <w:t>5</w:t>
      </w:r>
      <w:r>
        <w:rPr>
          <w:rFonts w:hint="eastAsia" w:ascii="仿宋" w:hAnsi="仿宋" w:eastAsia="仿宋"/>
          <w:color w:val="000000" w:themeColor="text1"/>
          <w:sz w:val="32"/>
          <w:szCs w:val="32"/>
          <w14:textFill>
            <w14:solidFill>
              <w14:schemeClr w14:val="tx1"/>
            </w14:solidFill>
          </w14:textFill>
        </w:rPr>
        <w:t>，以奖励证书为准）。</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7．作为国家级行业协会（学会）科学技术奖、工程类技术成果奖项获奖项目1项及以上的主要完成人。</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8．获得本专业授权发明专利1件（排名前3名），或实用新型专利3件及以上（排名前3名）</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9．主持完成本专业国家技术标准（规范）1项及以上，或本专业行业标准2项及以上，或本专业省级及以上行业协会（学会）团体标准3项及以上（均排名前5名），并公开发布实施。</w:t>
      </w:r>
    </w:p>
    <w:p>
      <w:pPr>
        <w:ind w:firstLine="640" w:firstLineChars="200"/>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1</w:t>
      </w:r>
      <w:r>
        <w:rPr>
          <w:rFonts w:hint="eastAsia" w:ascii="仿宋" w:hAnsi="仿宋" w:eastAsia="仿宋"/>
          <w:color w:val="000000" w:themeColor="text1"/>
          <w:sz w:val="32"/>
          <w:szCs w:val="32"/>
          <w14:textFill>
            <w14:solidFill>
              <w14:schemeClr w14:val="tx1"/>
            </w14:solidFill>
          </w14:textFill>
        </w:rPr>
        <w:t>0．获得省级及以上技术能手荣誉称号（以公布文件为准）。</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11.本企业主要产品生产和工程设计、施工安装以及有关的专业技术工作2项以上的主要完成人(前3名），工作成果取得显著的经济效益，并得到省级业务主管部门认可。</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12.作为主要完成人(前3名）将2项以上科技成果应用于生产，为扩大资源综合利用、节能降耗、产品深加工或三废回收利用等方面取得显著的经济效益和社会效益，被省级业务主管部门认可。</w:t>
      </w:r>
    </w:p>
    <w:p>
      <w:pPr>
        <w:ind w:firstLine="643" w:firstLineChars="200"/>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（四）学术成果条件</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符合下列条件之一：</w:t>
      </w:r>
    </w:p>
    <w:p>
      <w:pPr>
        <w:ind w:firstLine="640" w:firstLineChars="200"/>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1</w:t>
      </w:r>
      <w:r>
        <w:rPr>
          <w:rFonts w:hint="eastAsia" w:ascii="仿宋" w:hAnsi="仿宋" w:eastAsia="仿宋"/>
          <w:color w:val="000000" w:themeColor="text1"/>
          <w:sz w:val="32"/>
          <w:szCs w:val="32"/>
          <w14:textFill>
            <w14:solidFill>
              <w14:schemeClr w14:val="tx1"/>
            </w14:solidFill>
          </w14:textFill>
        </w:rPr>
        <w:t xml:space="preserve">．在公开发行的本专业期刊发表论文 2 篇（独撰或第一作者），或在全国性专业技术会议文集上发表论文、技术报告2篇（独撰或第一作者）。 </w:t>
      </w:r>
    </w:p>
    <w:p>
      <w:pPr>
        <w:ind w:firstLine="640" w:firstLineChars="200"/>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2</w:t>
      </w:r>
      <w:r>
        <w:rPr>
          <w:rFonts w:hint="eastAsia" w:ascii="仿宋" w:hAnsi="仿宋" w:eastAsia="仿宋"/>
          <w:color w:val="000000" w:themeColor="text1"/>
          <w:sz w:val="32"/>
          <w:szCs w:val="32"/>
          <w14:textFill>
            <w14:solidFill>
              <w14:schemeClr w14:val="tx1"/>
            </w14:solidFill>
          </w14:textFill>
        </w:rPr>
        <w:t>．在公开发行的本专业期刊发表论文 1 篇（独撰或第一作者），以及撰写为解决复杂技术问题的有较高水平的专项技术报告 1 篇或重要操作规程（手册、方案、案例等）1份（需行业协会（学会）组织评价认可）。</w:t>
      </w:r>
    </w:p>
    <w:p>
      <w:pPr>
        <w:ind w:firstLine="640" w:firstLineChars="200"/>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3</w:t>
      </w:r>
      <w:r>
        <w:rPr>
          <w:rFonts w:hint="eastAsia" w:ascii="仿宋" w:hAnsi="仿宋" w:eastAsia="仿宋"/>
          <w:color w:val="000000" w:themeColor="text1"/>
          <w:sz w:val="32"/>
          <w:szCs w:val="32"/>
          <w14:textFill>
            <w14:solidFill>
              <w14:schemeClr w14:val="tx1"/>
            </w14:solidFill>
          </w14:textFill>
        </w:rPr>
        <w:t>．撰写为解决本专业重大技术技能问题的专项技术报告3篇以上（需行业协会（学会）组织评价认可）。</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4</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作为主要完成人编写公开出版发行的本专业相关技术规范、规程、标准或教材、技术手册或操作手册1部（已在企业内部实施）或技术报告、技术工艺改进方案、解决工作难题的案例报告2份（均前</w:t>
      </w:r>
      <w:r>
        <w:rPr>
          <w:rFonts w:ascii="仿宋" w:hAnsi="仿宋" w:eastAsia="仿宋"/>
          <w:color w:val="000000" w:themeColor="text1"/>
          <w:sz w:val="32"/>
          <w:szCs w:val="32"/>
          <w14:textFill>
            <w14:solidFill>
              <w14:schemeClr w14:val="tx1"/>
            </w14:solidFill>
          </w14:textFill>
        </w:rPr>
        <w:t>3</w:t>
      </w:r>
      <w:r>
        <w:rPr>
          <w:rFonts w:hint="eastAsia" w:ascii="仿宋" w:hAnsi="仿宋" w:eastAsia="仿宋"/>
          <w:color w:val="000000" w:themeColor="text1"/>
          <w:sz w:val="32"/>
          <w:szCs w:val="32"/>
          <w14:textFill>
            <w14:solidFill>
              <w14:schemeClr w14:val="tx1"/>
            </w14:solidFill>
          </w14:textFill>
        </w:rPr>
        <w:t>名）。</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5.独立或作为主要作者，公开出版本专业专著或译著1部（本人撰写不少于5万字）。</w:t>
      </w:r>
    </w:p>
    <w:p>
      <w:pPr>
        <w:ind w:firstLine="643" w:firstLineChars="200"/>
        <w:rPr>
          <w:rFonts w:ascii="仿宋" w:hAnsi="仿宋" w:eastAsia="仿宋" w:cs="仿宋_GB2312"/>
          <w:b/>
          <w:color w:val="000000" w:themeColor="text1"/>
          <w:sz w:val="32"/>
          <w:szCs w:val="32"/>
          <w14:textFill>
            <w14:solidFill>
              <w14:schemeClr w14:val="tx1"/>
            </w14:solidFill>
          </w14:textFill>
        </w:rPr>
      </w:pPr>
      <w:r>
        <w:rPr>
          <w:rFonts w:hint="eastAsia" w:ascii="仿宋" w:hAnsi="仿宋" w:eastAsia="仿宋" w:cs="仿宋_GB2312"/>
          <w:b/>
          <w:color w:val="000000" w:themeColor="text1"/>
          <w:sz w:val="32"/>
          <w:szCs w:val="32"/>
          <w14:textFill>
            <w14:solidFill>
              <w14:schemeClr w14:val="tx1"/>
            </w14:solidFill>
          </w14:textFill>
        </w:rPr>
        <w:t>四、正高级工程师</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符合《广东省纺织工程技术人才职称评价标准条件》正高级工程师的工作能力（经历）条件、业绩成果条件及学术成果条件且满足下列条件之一者可直接申报正高级工程师职称：</w:t>
      </w:r>
    </w:p>
    <w:p>
      <w:pPr>
        <w:ind w:firstLine="640" w:firstLineChars="200"/>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1</w:t>
      </w:r>
      <w:r>
        <w:rPr>
          <w:rFonts w:hint="eastAsia" w:ascii="仿宋" w:hAnsi="仿宋" w:eastAsia="仿宋"/>
          <w:color w:val="000000" w:themeColor="text1"/>
          <w:sz w:val="32"/>
          <w:szCs w:val="32"/>
          <w14:textFill>
            <w14:solidFill>
              <w14:schemeClr w14:val="tx1"/>
            </w14:solidFill>
          </w14:textFill>
        </w:rPr>
        <w:t>．获得世界技能大赛金、银牌选手的指导专家、教练。</w:t>
      </w:r>
    </w:p>
    <w:p>
      <w:pPr>
        <w:ind w:firstLine="640" w:firstLineChars="200"/>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2</w:t>
      </w:r>
      <w:r>
        <w:rPr>
          <w:rFonts w:hint="eastAsia" w:ascii="仿宋" w:hAnsi="仿宋" w:eastAsia="仿宋"/>
          <w:color w:val="000000" w:themeColor="text1"/>
          <w:sz w:val="32"/>
          <w:szCs w:val="32"/>
          <w14:textFill>
            <w14:solidFill>
              <w14:schemeClr w14:val="tx1"/>
            </w14:solidFill>
          </w14:textFill>
        </w:rPr>
        <w:t>．获得中华技能大赛、全国技术能手荣誉称号。</w:t>
      </w:r>
    </w:p>
    <w:p>
      <w:pPr>
        <w:ind w:firstLine="640" w:firstLineChars="200"/>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3</w:t>
      </w:r>
      <w:r>
        <w:rPr>
          <w:rFonts w:hint="eastAsia" w:ascii="仿宋" w:hAnsi="仿宋" w:eastAsia="仿宋"/>
          <w:color w:val="000000" w:themeColor="text1"/>
          <w:sz w:val="32"/>
          <w:szCs w:val="32"/>
          <w14:textFill>
            <w14:solidFill>
              <w14:schemeClr w14:val="tx1"/>
            </w14:solidFill>
          </w14:textFill>
        </w:rPr>
        <w:t>．担任国家级技能大师工作室负责人，享受政府特殊津贴的优秀高技能人才。</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4.享受省级以上政府特殊津贴的优秀高技能人才。</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5.被认定为国家级非物质文化遗产传统技艺的代表性传承人。</w:t>
      </w:r>
    </w:p>
    <w:p>
      <w:pPr>
        <w:pStyle w:val="10"/>
        <w:spacing w:line="560" w:lineRule="exact"/>
        <w:ind w:firstLine="665" w:firstLineChars="208"/>
        <w:rPr>
          <w:rFonts w:ascii="仿宋" w:hAnsi="仿宋" w:eastAsia="仿宋" w:cs="仿宋"/>
          <w:color w:val="000000" w:themeColor="text1"/>
          <w:sz w:val="32"/>
          <w:szCs w:val="32"/>
          <w14:textFill>
            <w14:solidFill>
              <w14:schemeClr w14:val="tx1"/>
            </w14:solidFill>
          </w14:textFill>
        </w:rPr>
      </w:pPr>
    </w:p>
    <w:p>
      <w:pPr>
        <w:tabs>
          <w:tab w:val="left" w:pos="720"/>
        </w:tabs>
        <w:adjustRightInd w:val="0"/>
        <w:snapToGrid w:val="0"/>
        <w:spacing w:line="560" w:lineRule="exact"/>
        <w:ind w:firstLine="2891" w:firstLineChars="900"/>
        <w:rPr>
          <w:rFonts w:ascii="黑体" w:hAnsi="黑体" w:eastAsia="黑体" w:cs="黑体"/>
          <w:b/>
          <w:bCs/>
          <w:color w:val="000000" w:themeColor="text1"/>
          <w:kern w:val="0"/>
          <w:sz w:val="32"/>
          <w:szCs w:val="32"/>
          <w14:textFill>
            <w14:solidFill>
              <w14:schemeClr w14:val="tx1"/>
            </w14:solidFill>
          </w14:textFill>
        </w:rPr>
      </w:pPr>
      <w:r>
        <w:rPr>
          <w:rFonts w:hint="eastAsia" w:ascii="黑体" w:hAnsi="黑体" w:eastAsia="黑体" w:cs="黑体"/>
          <w:b/>
          <w:bCs/>
          <w:color w:val="000000" w:themeColor="text1"/>
          <w:kern w:val="0"/>
          <w:sz w:val="32"/>
          <w:szCs w:val="32"/>
          <w14:textFill>
            <w14:solidFill>
              <w14:schemeClr w14:val="tx1"/>
            </w14:solidFill>
          </w14:textFill>
        </w:rPr>
        <w:t>第四章 附则</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一、技工院校中级工班、高级工班、预备技师（技师）班毕业，可分别按相当于中专、大专、本科学历申报相应职称。</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二、与本评价条件有关的词语或概念的解释见附录。</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三、本评价条件自2022年月起试行，国家或广东省有新规定的按照新规定执行。</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四、本评价标准条件由广东省纺织协会负责解释。</w:t>
      </w:r>
    </w:p>
    <w:p>
      <w:pPr>
        <w:widowControl/>
        <w:adjustRightInd w:val="0"/>
        <w:snapToGrid w:val="0"/>
        <w:spacing w:line="560" w:lineRule="exact"/>
        <w:jc w:val="left"/>
        <w:rPr>
          <w:rFonts w:ascii="仿宋" w:hAnsi="仿宋" w:eastAsia="仿宋" w:cs="宋体-PUA"/>
          <w:b/>
          <w:bCs/>
          <w:color w:val="000000" w:themeColor="text1"/>
          <w:sz w:val="32"/>
          <w:szCs w:val="32"/>
          <w14:textFill>
            <w14:solidFill>
              <w14:schemeClr w14:val="tx1"/>
            </w14:solidFill>
          </w14:textFill>
        </w:rPr>
      </w:pPr>
    </w:p>
    <w:p>
      <w:pPr>
        <w:widowControl/>
        <w:adjustRightInd w:val="0"/>
        <w:snapToGrid w:val="0"/>
        <w:spacing w:line="560" w:lineRule="exact"/>
        <w:jc w:val="left"/>
        <w:rPr>
          <w:rFonts w:ascii="仿宋" w:hAnsi="仿宋" w:eastAsia="仿宋" w:cs="宋体-PUA"/>
          <w:b/>
          <w:bCs/>
          <w:color w:val="000000" w:themeColor="text1"/>
          <w:sz w:val="32"/>
          <w:szCs w:val="32"/>
          <w14:textFill>
            <w14:solidFill>
              <w14:schemeClr w14:val="tx1"/>
            </w14:solidFill>
          </w14:textFill>
        </w:rPr>
      </w:pPr>
    </w:p>
    <w:p>
      <w:pPr>
        <w:widowControl/>
        <w:adjustRightInd w:val="0"/>
        <w:snapToGrid w:val="0"/>
        <w:spacing w:line="560" w:lineRule="exact"/>
        <w:jc w:val="left"/>
        <w:rPr>
          <w:rFonts w:ascii="仿宋" w:hAnsi="仿宋" w:eastAsia="仿宋" w:cs="宋体-PUA"/>
          <w:b/>
          <w:bCs/>
          <w:color w:val="000000" w:themeColor="text1"/>
          <w:sz w:val="32"/>
          <w:szCs w:val="32"/>
          <w14:textFill>
            <w14:solidFill>
              <w14:schemeClr w14:val="tx1"/>
            </w14:solidFill>
          </w14:textFill>
        </w:rPr>
      </w:pPr>
    </w:p>
    <w:p>
      <w:pPr>
        <w:widowControl/>
        <w:adjustRightInd w:val="0"/>
        <w:snapToGrid w:val="0"/>
        <w:spacing w:line="560" w:lineRule="exact"/>
        <w:jc w:val="left"/>
        <w:rPr>
          <w:rFonts w:ascii="仿宋" w:hAnsi="仿宋" w:eastAsia="仿宋" w:cs="宋体-PUA"/>
          <w:b/>
          <w:bCs/>
          <w:color w:val="000000" w:themeColor="text1"/>
          <w:sz w:val="32"/>
          <w:szCs w:val="32"/>
          <w14:textFill>
            <w14:solidFill>
              <w14:schemeClr w14:val="tx1"/>
            </w14:solidFill>
          </w14:textFill>
        </w:rPr>
      </w:pPr>
    </w:p>
    <w:p>
      <w:pPr>
        <w:widowControl/>
        <w:adjustRightInd w:val="0"/>
        <w:snapToGrid w:val="0"/>
        <w:spacing w:line="560" w:lineRule="exact"/>
        <w:jc w:val="left"/>
        <w:rPr>
          <w:rFonts w:ascii="仿宋" w:hAnsi="仿宋" w:eastAsia="仿宋" w:cs="宋体-PUA"/>
          <w:b/>
          <w:bCs/>
          <w:color w:val="000000" w:themeColor="text1"/>
          <w:sz w:val="32"/>
          <w:szCs w:val="32"/>
          <w14:textFill>
            <w14:solidFill>
              <w14:schemeClr w14:val="tx1"/>
            </w14:solidFill>
          </w14:textFill>
        </w:rPr>
      </w:pPr>
    </w:p>
    <w:p>
      <w:pPr>
        <w:widowControl/>
        <w:adjustRightInd w:val="0"/>
        <w:snapToGrid w:val="0"/>
        <w:spacing w:line="560" w:lineRule="exact"/>
        <w:jc w:val="left"/>
        <w:rPr>
          <w:rFonts w:ascii="仿宋" w:hAnsi="仿宋" w:eastAsia="仿宋" w:cs="宋体-PUA"/>
          <w:b/>
          <w:bCs/>
          <w:color w:val="000000" w:themeColor="text1"/>
          <w:sz w:val="32"/>
          <w:szCs w:val="32"/>
          <w14:textFill>
            <w14:solidFill>
              <w14:schemeClr w14:val="tx1"/>
            </w14:solidFill>
          </w14:textFill>
        </w:rPr>
      </w:pPr>
      <w:r>
        <w:rPr>
          <w:rFonts w:hint="eastAsia" w:ascii="仿宋" w:hAnsi="仿宋" w:eastAsia="仿宋" w:cs="宋体-PUA"/>
          <w:b/>
          <w:bCs/>
          <w:color w:val="000000" w:themeColor="text1"/>
          <w:sz w:val="32"/>
          <w:szCs w:val="32"/>
          <w14:textFill>
            <w14:solidFill>
              <w14:schemeClr w14:val="tx1"/>
            </w14:solidFill>
          </w14:textFill>
        </w:rPr>
        <w:t>附录：相关词语或概念的解释</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1.冠有“以上”的均含本级或本数量。如“市（厅）级以上”含市（厅）级，“3年以上”含3年。</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2.学历（学位）：指国家承认的学历、学位。各种培训班颁发的结业证书或专业证书不得作为申报专业技术资格的学历依据。</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3.资历：指从取得现专业资格起至申报当年为止所从事本专业技术技能工作的时间，截止时间点以每年度通知为准，按周年计算。在此期间全脱产学习者，应扣除其全脱产学习的时间。</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4.职业资格：职业资格是对从事某一职业所必备的学识、技术和</w:t>
      </w:r>
      <w:r>
        <w:fldChar w:fldCharType="begin"/>
      </w:r>
      <w:r>
        <w:instrText xml:space="preserve"> HYPERLINK "https://baike.baidu.com/item/%E8%83%BD%E5%8A%9B/33045" \t "https://baike.baidu.com/item/%E8%81%8C%E4%B8%9A%E8%B5%84%E6%A0%BC/_blank" </w:instrText>
      </w:r>
      <w:r>
        <w:fldChar w:fldCharType="separate"/>
      </w:r>
      <w:r>
        <w:rPr>
          <w:rStyle w:val="6"/>
          <w:rFonts w:hint="eastAsia" w:ascii="仿宋" w:hAnsi="仿宋" w:eastAsia="仿宋"/>
          <w:color w:val="000000" w:themeColor="text1"/>
          <w:sz w:val="32"/>
          <w:szCs w:val="32"/>
          <w:u w:val="none"/>
          <w14:textFill>
            <w14:solidFill>
              <w14:schemeClr w14:val="tx1"/>
            </w14:solidFill>
          </w14:textFill>
        </w:rPr>
        <w:t>能力</w:t>
      </w:r>
      <w:r>
        <w:rPr>
          <w:rStyle w:val="6"/>
          <w:rFonts w:hint="eastAsia" w:ascii="仿宋" w:hAnsi="仿宋" w:eastAsia="仿宋"/>
          <w:color w:val="000000" w:themeColor="text1"/>
          <w:sz w:val="32"/>
          <w:szCs w:val="32"/>
          <w:u w:val="none"/>
          <w14:textFill>
            <w14:solidFill>
              <w14:schemeClr w14:val="tx1"/>
            </w14:solidFill>
          </w14:textFill>
        </w:rPr>
        <w:fldChar w:fldCharType="end"/>
      </w:r>
      <w:r>
        <w:rPr>
          <w:rFonts w:hint="eastAsia" w:ascii="仿宋" w:hAnsi="仿宋" w:eastAsia="仿宋"/>
          <w:color w:val="000000" w:themeColor="text1"/>
          <w:sz w:val="32"/>
          <w:szCs w:val="32"/>
          <w14:textFill>
            <w14:solidFill>
              <w14:schemeClr w14:val="tx1"/>
            </w14:solidFill>
          </w14:textFill>
        </w:rPr>
        <w:t>的基本要求。职业资格分为专业技术人员职业资格和技能人员职业资格。国家职业资格由人社部制定标准，通过</w:t>
      </w:r>
      <w:r>
        <w:fldChar w:fldCharType="begin"/>
      </w:r>
      <w:r>
        <w:instrText xml:space="preserve"> HYPERLINK "https://baike.baidu.com/item/%E8%B5%84%E6%A0%BC%E8%80%83%E8%AF%95/10096026" \t "https://baike.baidu.com/item/%E8%81%8C%E4%B8%9A%E8%B5%84%E6%A0%BC/_blank" </w:instrText>
      </w:r>
      <w:r>
        <w:fldChar w:fldCharType="separate"/>
      </w:r>
      <w:r>
        <w:rPr>
          <w:rStyle w:val="6"/>
          <w:rFonts w:hint="eastAsia" w:ascii="仿宋" w:hAnsi="仿宋" w:eastAsia="仿宋"/>
          <w:color w:val="000000" w:themeColor="text1"/>
          <w:sz w:val="32"/>
          <w:szCs w:val="32"/>
          <w:u w:val="none"/>
          <w14:textFill>
            <w14:solidFill>
              <w14:schemeClr w14:val="tx1"/>
            </w14:solidFill>
          </w14:textFill>
        </w:rPr>
        <w:t>资格考试</w:t>
      </w:r>
      <w:r>
        <w:rPr>
          <w:rStyle w:val="6"/>
          <w:rFonts w:hint="eastAsia" w:ascii="仿宋" w:hAnsi="仿宋" w:eastAsia="仿宋"/>
          <w:color w:val="000000" w:themeColor="text1"/>
          <w:sz w:val="32"/>
          <w:szCs w:val="32"/>
          <w:u w:val="none"/>
          <w14:textFill>
            <w14:solidFill>
              <w14:schemeClr w14:val="tx1"/>
            </w14:solidFill>
          </w14:textFill>
        </w:rPr>
        <w:fldChar w:fldCharType="end"/>
      </w:r>
      <w:r>
        <w:rPr>
          <w:rFonts w:hint="eastAsia" w:ascii="仿宋" w:hAnsi="仿宋" w:eastAsia="仿宋"/>
          <w:color w:val="000000" w:themeColor="text1"/>
          <w:sz w:val="32"/>
          <w:szCs w:val="32"/>
          <w14:textFill>
            <w14:solidFill>
              <w14:schemeClr w14:val="tx1"/>
            </w14:solidFill>
          </w14:textFill>
        </w:rPr>
        <w:t>、职业技能鉴定等方式进行评价，对合格者授予国家职业资格证书。本标准所称职业资格均指国家职业资格。</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 xml:space="preserve">5.技能竞赛及级别：职业技能竞赛是依据职业技能标准，结合生产和经营工作实际开展的以突出操作技能和解决实际问题能力为重点的、有组织的群众性竞赛活动，实行分级分类管理。具体分为国家级、省级和地市级三级，各个级别又分为一类竞赛和二类竞赛。 </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一类竞赛是指由相应级别的</w:t>
      </w:r>
      <w:r>
        <w:fldChar w:fldCharType="begin"/>
      </w:r>
      <w:r>
        <w:instrText xml:space="preserve"> HYPERLINK "http://baike.baidu.com/view/126280.htm" \t "http://jwc.tjtc.edu.cn/info/1965/_blank" </w:instrText>
      </w:r>
      <w:r>
        <w:fldChar w:fldCharType="separate"/>
      </w:r>
      <w:r>
        <w:rPr>
          <w:rStyle w:val="6"/>
          <w:rFonts w:hint="eastAsia" w:ascii="仿宋" w:hAnsi="仿宋" w:eastAsia="仿宋"/>
          <w:color w:val="000000" w:themeColor="text1"/>
          <w:sz w:val="32"/>
          <w:szCs w:val="32"/>
          <w:u w:val="none"/>
          <w14:textFill>
            <w14:solidFill>
              <w14:schemeClr w14:val="tx1"/>
            </w14:solidFill>
          </w14:textFill>
        </w:rPr>
        <w:t>人力资源和社会保障部门牵头组织的、跨行业（系统）、跨地区的竞赛；二类竞赛是指由相应级别的有关行业部门或行业（系统）组织牵头举办的竞赛。</w:t>
      </w:r>
      <w:r>
        <w:rPr>
          <w:rStyle w:val="6"/>
          <w:rFonts w:hint="eastAsia" w:ascii="仿宋" w:hAnsi="仿宋" w:eastAsia="仿宋"/>
          <w:color w:val="000000" w:themeColor="text1"/>
          <w:sz w:val="32"/>
          <w:szCs w:val="32"/>
          <w:u w:val="none"/>
          <w14:textFill>
            <w14:solidFill>
              <w14:schemeClr w14:val="tx1"/>
            </w14:solidFill>
          </w14:textFill>
        </w:rPr>
        <w:fldChar w:fldCharType="end"/>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6.竞赛教练：组织、指导竞赛队员通过学习、训练掌握竞赛知识和技能，提高竞赛水平，争取获得好的竞赛成绩的人。</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7.小型、中型、大型：工程建设项目按复杂程度和大小级别分为大、中、小型，划分标准为住建部《工程设计资质标准》中的规定。没有明确等级划分标准的，工程投资1亿元以上的为大型项目，小于1亿元，大于5000万元的为中型项目，5000万元以下的为小型项目。</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8.主持：领导项目团队开展工作，在项目工作中起到主导和带头作用，主持人对项目负总责。一般指项目的负责人、技术负责人。</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9.主要完成人：是完成项目中起到主要作用的人员，包括项目负责人、项目技术负责人、分支专业技术负责人及承担关键或重要技术任务的主要技术骨干。从事辅助性工作任务的人员，不视为主要完成人。</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10.参与人员：指承担项目辅助工作或非关键、非主体工作的完成人。</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11.相同专业及相近专业：对于学历，教育部《普通高等学校本科专业目录》本学科门类下的一级学科之间视同相近专业；一级学科下的二级学科之间视为本专业（或相同专业）。对于职称，相同专业指相同名称或同一专业不同分支的职称，或名称不同专业实际相同的职称。</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12.关键技术问题：是指在本专业领域中最重要的技术，在完成项目任务中起决定性作用的技术问题。</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13.经济效益：指通过利用某个工作项目所产生的，可以用经济指标计算和表现的效益（一般由第三方审计报告确定）。</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14.较好的经济效益：指某项工作产生的收益超过50万元以上。</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15.社会效益：指通过利用某个工作项目所产生的，经过有关主管部门认可的改善环境、劳动、生活条件、节能、降耗、增强国力等的效益，以及有利于贯彻党的国家方针政策，有利于国民经济和社会发展的效益。</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16.关键性问题：指涉及本专业领域的关键技术，在完成项目任务中起决定性作用的技术问题。</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17.技术专著：指取得ISBN统一书号，公开出版发行的专业技术专著。具有特定的研究对象，反映研究对象规律，并构成一定体系，属作者创造性思维的著作。其技术水平（价值）由评委会专家公正、公平、全面地评定。</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18.论文：指在取得出版刊号（CN或ISSN）的专业学术期刊上公开发表本专业研究性学术文章。国外公开发行的科技刊物参照执行。凡对业务工作现象进行一般描述、介绍、报道的文章不能视为论文。所有的清样稿、论文录用通知（证明）不能作为已发表论文的依据。</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交流论文指在学术会议大会上宣读或学科分组会议上宣读，或在内部刊物或资料上发表的本专业学术论文。凡宣读论文必须提交论文宣读佐证材料、论文汇编、会议日程安排等相关材料。摘要发表者须同时提交全文原稿。</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19.操作手册：一般包含对有关装置（设备）的操作准备、操作流程（步骤）、工作标准、操作安全作出具体要求和对其性能、用途、部件作出详细说明的文件（出版物）。</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20.各类获奖奖项及排名以奖励证书为准。</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21.市级：指行政区划为地级以上市（不含直辖市）。</w:t>
      </w:r>
    </w:p>
    <w:p>
      <w:pPr>
        <w:ind w:right="1280"/>
        <w:rPr>
          <w:rFonts w:ascii="仿宋" w:hAnsi="仿宋" w:eastAsia="仿宋"/>
          <w:color w:val="000000" w:themeColor="text1"/>
          <w:sz w:val="32"/>
          <w:szCs w:val="32"/>
          <w14:textFill>
            <w14:solidFill>
              <w14:schemeClr w14:val="tx1"/>
            </w14:solidFill>
          </w14:textFill>
        </w:rPr>
      </w:pPr>
    </w:p>
    <w:p>
      <w:pPr>
        <w:rPr>
          <w:rFonts w:ascii="仿宋" w:hAnsi="仿宋" w:eastAsia="仿宋" w:cs="仿宋"/>
          <w:color w:val="000000" w:themeColor="text1"/>
          <w:sz w:val="32"/>
          <w:szCs w:val="32"/>
          <w14:textFill>
            <w14:solidFill>
              <w14:schemeClr w14:val="tx1"/>
            </w14:solidFill>
          </w14:textFill>
        </w:rPr>
      </w:pPr>
    </w:p>
    <w:p>
      <w:pPr>
        <w:ind w:left="1597" w:leftChars="608" w:hanging="320" w:hangingChars="100"/>
        <w:rPr>
          <w:rFonts w:ascii="仿宋" w:hAnsi="仿宋" w:eastAsia="仿宋" w:cs="仿宋"/>
          <w:color w:val="000000" w:themeColor="text1"/>
          <w:sz w:val="32"/>
          <w:szCs w:val="32"/>
          <w14:textFill>
            <w14:solidFill>
              <w14:schemeClr w14:val="tx1"/>
            </w14:solidFill>
          </w14:textFill>
        </w:rPr>
      </w:pPr>
    </w:p>
    <w:p>
      <w:pPr>
        <w:ind w:left="1597" w:leftChars="608" w:hanging="320" w:hangingChars="100"/>
        <w:rPr>
          <w:rFonts w:ascii="仿宋" w:hAnsi="仿宋" w:eastAsia="仿宋" w:cs="仿宋"/>
          <w:color w:val="000000" w:themeColor="text1"/>
          <w:sz w:val="32"/>
          <w:szCs w:val="32"/>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宋体-PUA">
    <w:altName w:val="宋体"/>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wNzg1OWZkYjdkMTY2YzQxMGJiYTVmYzc0YTM2N2YifQ=="/>
  </w:docVars>
  <w:rsids>
    <w:rsidRoot w:val="006740C9"/>
    <w:rsid w:val="00006434"/>
    <w:rsid w:val="0003468E"/>
    <w:rsid w:val="00061FC8"/>
    <w:rsid w:val="000E2505"/>
    <w:rsid w:val="000F7DD6"/>
    <w:rsid w:val="00127162"/>
    <w:rsid w:val="002A7C7C"/>
    <w:rsid w:val="0036233C"/>
    <w:rsid w:val="00371916"/>
    <w:rsid w:val="0037197C"/>
    <w:rsid w:val="003F3272"/>
    <w:rsid w:val="004537EB"/>
    <w:rsid w:val="00462A9C"/>
    <w:rsid w:val="0057501E"/>
    <w:rsid w:val="005B4392"/>
    <w:rsid w:val="005B78A9"/>
    <w:rsid w:val="005D29F3"/>
    <w:rsid w:val="006740C9"/>
    <w:rsid w:val="0069473C"/>
    <w:rsid w:val="0074351C"/>
    <w:rsid w:val="00790C95"/>
    <w:rsid w:val="007C16C5"/>
    <w:rsid w:val="007D748A"/>
    <w:rsid w:val="00810F21"/>
    <w:rsid w:val="00820B47"/>
    <w:rsid w:val="00824B82"/>
    <w:rsid w:val="008427BE"/>
    <w:rsid w:val="00873C38"/>
    <w:rsid w:val="00882C29"/>
    <w:rsid w:val="008D48D9"/>
    <w:rsid w:val="00986A84"/>
    <w:rsid w:val="009D7211"/>
    <w:rsid w:val="00A163CC"/>
    <w:rsid w:val="00B23E83"/>
    <w:rsid w:val="00B94C26"/>
    <w:rsid w:val="00BE2907"/>
    <w:rsid w:val="00C07F61"/>
    <w:rsid w:val="00C46B00"/>
    <w:rsid w:val="00CC50EB"/>
    <w:rsid w:val="00CE0CE4"/>
    <w:rsid w:val="00D12137"/>
    <w:rsid w:val="00D14846"/>
    <w:rsid w:val="00D22A6A"/>
    <w:rsid w:val="00D4592B"/>
    <w:rsid w:val="00D97502"/>
    <w:rsid w:val="00DA7D4F"/>
    <w:rsid w:val="00EB7D1F"/>
    <w:rsid w:val="00EE6298"/>
    <w:rsid w:val="00F80263"/>
    <w:rsid w:val="00FA0F27"/>
    <w:rsid w:val="00FE06A0"/>
    <w:rsid w:val="02755C8C"/>
    <w:rsid w:val="07867DF1"/>
    <w:rsid w:val="0CF941C7"/>
    <w:rsid w:val="0D9B3976"/>
    <w:rsid w:val="0FBA02DF"/>
    <w:rsid w:val="148368D6"/>
    <w:rsid w:val="14B42513"/>
    <w:rsid w:val="15012A4D"/>
    <w:rsid w:val="150E51CF"/>
    <w:rsid w:val="174C0D08"/>
    <w:rsid w:val="18E758B9"/>
    <w:rsid w:val="21E11676"/>
    <w:rsid w:val="239C1ABC"/>
    <w:rsid w:val="240B1E6D"/>
    <w:rsid w:val="263E31AA"/>
    <w:rsid w:val="26AB4A6F"/>
    <w:rsid w:val="36106DE4"/>
    <w:rsid w:val="37897DF5"/>
    <w:rsid w:val="3AC21623"/>
    <w:rsid w:val="3B48364F"/>
    <w:rsid w:val="3C79296B"/>
    <w:rsid w:val="40531D22"/>
    <w:rsid w:val="407661F7"/>
    <w:rsid w:val="4A1908CF"/>
    <w:rsid w:val="4B9003DE"/>
    <w:rsid w:val="4C2A01D2"/>
    <w:rsid w:val="4C9153FF"/>
    <w:rsid w:val="4CE55773"/>
    <w:rsid w:val="50287678"/>
    <w:rsid w:val="50742948"/>
    <w:rsid w:val="51B224A8"/>
    <w:rsid w:val="53EF0A41"/>
    <w:rsid w:val="567D3594"/>
    <w:rsid w:val="56C75E7C"/>
    <w:rsid w:val="68DD5962"/>
    <w:rsid w:val="70272702"/>
    <w:rsid w:val="758B1542"/>
    <w:rsid w:val="76AF22AE"/>
    <w:rsid w:val="7F54263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semiHidden/>
    <w:unhideWhenUsed/>
    <w:qFormat/>
    <w:uiPriority w:val="99"/>
    <w:rPr>
      <w:color w:val="0000FF" w:themeColor="hyperlink"/>
      <w:u w:val="single"/>
      <w14:textFill>
        <w14:solidFill>
          <w14:schemeClr w14:val="hlink"/>
        </w14:solidFill>
      </w14:textFill>
    </w:rPr>
  </w:style>
  <w:style w:type="character" w:customStyle="1" w:styleId="7">
    <w:name w:val="页眉 Char"/>
    <w:basedOn w:val="5"/>
    <w:link w:val="3"/>
    <w:semiHidden/>
    <w:qFormat/>
    <w:uiPriority w:val="99"/>
    <w:rPr>
      <w:kern w:val="2"/>
      <w:sz w:val="18"/>
      <w:szCs w:val="18"/>
    </w:rPr>
  </w:style>
  <w:style w:type="character" w:customStyle="1" w:styleId="8">
    <w:name w:val="页脚 Char"/>
    <w:basedOn w:val="5"/>
    <w:link w:val="2"/>
    <w:semiHidden/>
    <w:qFormat/>
    <w:uiPriority w:val="99"/>
    <w:rPr>
      <w:kern w:val="2"/>
      <w:sz w:val="18"/>
      <w:szCs w:val="18"/>
    </w:rPr>
  </w:style>
  <w:style w:type="paragraph" w:customStyle="1" w:styleId="9">
    <w:name w:val="正文1"/>
    <w:qFormat/>
    <w:uiPriority w:val="0"/>
    <w:rPr>
      <w:rFonts w:ascii="Arial Unicode MS" w:hAnsi="Arial Unicode MS" w:eastAsia="Arial Unicode MS" w:cs="Arial Unicode MS"/>
      <w:color w:val="000000"/>
      <w:sz w:val="22"/>
      <w:szCs w:val="22"/>
      <w:lang w:val="zh-CN" w:eastAsia="zh-CN" w:bidi="ar-SA"/>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Pages>
  <Words>6699</Words>
  <Characters>6793</Characters>
  <Lines>53</Lines>
  <Paragraphs>14</Paragraphs>
  <TotalTime>25</TotalTime>
  <ScaleCrop>false</ScaleCrop>
  <LinksUpToDate>false</LinksUpToDate>
  <CharactersWithSpaces>6933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2022-05-09T03:01:00Z</dcterms:created>
  <dc:creator>*</dc:creator>
  <cp:lastModifiedBy>星河予與</cp:lastModifiedBy>
  <dcterms:modified xsi:type="dcterms:W3CDTF">2023-07-15T06:50:52Z</dcterms:modified>
  <cp:revision>121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68E679D561664D32823821435360D01E_13</vt:lpwstr>
  </property>
</Properties>
</file>