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广东省贵金属首饰与宝玉石检测职业发展贯通实施细则（试行）</w:t>
      </w:r>
    </w:p>
    <w:tbl>
      <w:tblPr>
        <w:tblStyle w:val="6"/>
        <w:tblW w:w="15363" w:type="dxa"/>
        <w:tblInd w:w="10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9"/>
        <w:gridCol w:w="1926"/>
        <w:gridCol w:w="126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769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序号</w:t>
            </w:r>
          </w:p>
        </w:tc>
        <w:tc>
          <w:tcPr>
            <w:tcW w:w="1926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评审内容</w:t>
            </w:r>
          </w:p>
        </w:tc>
        <w:tc>
          <w:tcPr>
            <w:tcW w:w="1266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内容明细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769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1</w:t>
            </w:r>
          </w:p>
        </w:tc>
        <w:tc>
          <w:tcPr>
            <w:tcW w:w="1926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适用范围和对象</w:t>
            </w:r>
          </w:p>
        </w:tc>
        <w:tc>
          <w:tcPr>
            <w:tcW w:w="12668" w:type="dxa"/>
            <w:vAlign w:val="center"/>
          </w:tcPr>
          <w:p>
            <w:pPr>
              <w:spacing w:line="240" w:lineRule="auto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本评审条件适用于在广东省珠宝首饰行业企事业单位生产一线岗位，从事珠宝贵金属检测技术技能工作，具有高超技艺和精湛技能，能够进行创造性劳动，并作出贡献的在职在岗高技能人才。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8" w:hRule="atLeast"/>
        </w:trPr>
        <w:tc>
          <w:tcPr>
            <w:tcW w:w="769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2</w:t>
            </w:r>
          </w:p>
        </w:tc>
        <w:tc>
          <w:tcPr>
            <w:tcW w:w="1926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对应技能范围</w:t>
            </w:r>
          </w:p>
        </w:tc>
        <w:tc>
          <w:tcPr>
            <w:tcW w:w="12668" w:type="dxa"/>
            <w:vAlign w:val="center"/>
          </w:tcPr>
          <w:p>
            <w:pPr>
              <w:spacing w:line="240" w:lineRule="auto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贵金属首饰与宝玉石检测员（对应国家职业分类大典职业编码：4-08-05-03），包括：贵金属首饰检验员、钻石检验员、宝玉石检验员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4" w:hRule="atLeast"/>
        </w:trPr>
        <w:tc>
          <w:tcPr>
            <w:tcW w:w="769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3</w:t>
            </w:r>
          </w:p>
        </w:tc>
        <w:tc>
          <w:tcPr>
            <w:tcW w:w="1926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基本条件</w:t>
            </w:r>
          </w:p>
        </w:tc>
        <w:tc>
          <w:tcPr>
            <w:tcW w:w="126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1. 拥护中国共产党的领导，遵守中华人民共和国宪法和法律法规、规章以及在职单位规章制度，积极投身新时代中国特色社会主义现代化强国建设。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2. 热爱本职工作，认真履行岗位职责，具有良好的职业道德、爱岗敬业，作风端正。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3. 身心健康，具备从事贵金属首饰与宝玉石检测工程技术工作的身体条件。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4. 具备相应的职业资格。高技能人才参评工程系列专业技术职称的，应取得职业技能等级证书，申报时需提交证书原件，供职称申报点核实确认。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5. 高技能人才申报及评审各层级技术职称，突出高技能人才职业特点，以职业能力和工作业绩评定为重点，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eastAsia="zh-CN"/>
              </w:rPr>
              <w:t>将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技能技艺、工作实绩、生产效率、产品质量、技术和专利发明、科研成果、技能竞赛成绩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相关论文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eastAsia="zh-CN"/>
              </w:rPr>
              <w:t>著作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等作为重要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eastAsia="zh-CN"/>
              </w:rPr>
              <w:t>参考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依据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eastAsia="zh-CN"/>
              </w:rPr>
              <w:t>。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职称外语、计算机应用能力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eastAsia="zh-CN"/>
              </w:rPr>
              <w:t>条件、继续教育条件不作统一要求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。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highlight w:val="none"/>
                <w:lang w:eastAsia="zh-CN"/>
              </w:rPr>
              <w:t>6. 任现职期间，年度考核或绩效考核为称职（合格）以上等次的年限不少于申报职称等级要求的资历年限。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eastAsia="zh-CN"/>
              </w:rPr>
              <w:t>出现以下情况之一，按下列规定执行：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（1）年度考核或绩效考核不称职（不合格），或受单位书面通报批评者，该考核年度不计算资历。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（2）已定性为技术责任事故的直接责任人，该年度不计算资历且取消当年申报资格。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（3）发现并查证属实，有伪造身份、学历、职业资格、资历、业绩，剽窃他人成果等弄虚作假或违反政策规定者，取消当年申报资格，记入诚信档案，3年内不得再次申报职称评审；如已评审通过的，由人力资源社会保障部门或职称评审委员会组建单位撤销其职称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（4）因违法受刑事处罚的，在执行期间不计算资历且取消申报资格，处罚处分期满后，2年内取消申报资格。</w:t>
            </w:r>
          </w:p>
        </w:tc>
      </w:tr>
    </w:tbl>
    <w:p>
      <w:pPr>
        <w:spacing w:line="240" w:lineRule="auto"/>
        <w:jc w:val="both"/>
        <w:rPr>
          <w:rFonts w:hint="eastAsia" w:ascii="仿宋_GB2312" w:hAnsi="仿宋_GB2312" w:eastAsia="仿宋_GB2312" w:cs="仿宋_GB2312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sz w:val="24"/>
          <w:szCs w:val="24"/>
          <w:highlight w:val="none"/>
        </w:rPr>
        <w:br w:type="page"/>
      </w:r>
    </w:p>
    <w:tbl>
      <w:tblPr>
        <w:tblStyle w:val="6"/>
        <w:tblW w:w="15340" w:type="dxa"/>
        <w:tblInd w:w="18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4"/>
        <w:gridCol w:w="1487"/>
        <w:gridCol w:w="2283"/>
        <w:gridCol w:w="108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694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4</w:t>
            </w:r>
          </w:p>
        </w:tc>
        <w:tc>
          <w:tcPr>
            <w:tcW w:w="1487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工程师</w:t>
            </w:r>
          </w:p>
        </w:tc>
        <w:tc>
          <w:tcPr>
            <w:tcW w:w="2283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资历条件</w:t>
            </w:r>
          </w:p>
        </w:tc>
        <w:tc>
          <w:tcPr>
            <w:tcW w:w="10876" w:type="dxa"/>
            <w:vAlign w:val="center"/>
          </w:tcPr>
          <w:p>
            <w:pPr>
              <w:spacing w:line="240" w:lineRule="auto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取得贵金属首饰宝玉石检验技师职业资格后，从事对应专业技术技能工作3年以上。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6" w:hRule="atLeast"/>
        </w:trPr>
        <w:tc>
          <w:tcPr>
            <w:tcW w:w="694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</w:p>
        </w:tc>
        <w:tc>
          <w:tcPr>
            <w:tcW w:w="1487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</w:p>
        </w:tc>
        <w:tc>
          <w:tcPr>
            <w:tcW w:w="2283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工作能力</w:t>
            </w:r>
          </w:p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（经历）条件</w:t>
            </w:r>
          </w:p>
        </w:tc>
        <w:tc>
          <w:tcPr>
            <w:tcW w:w="10876" w:type="dxa"/>
          </w:tcPr>
          <w:p>
            <w:pPr>
              <w:spacing w:line="240" w:lineRule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符合上述条件的申报人，每年必须完成本岗位所规定的专业技术技能工作任务，还须具备以下条件之一：</w:t>
            </w:r>
          </w:p>
          <w:p>
            <w:pPr>
              <w:spacing w:line="240" w:lineRule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1. 参加省级或以上技能比赛</w:t>
            </w:r>
            <w:r>
              <w:rPr>
                <w:rFonts w:hint="eastAsia" w:ascii="仿宋_GB2312" w:hAnsi="仿宋_GB2312" w:eastAsia="仿宋_GB2312" w:cs="仿宋_GB2312"/>
                <w:w w:val="85"/>
                <w:sz w:val="24"/>
                <w:szCs w:val="24"/>
                <w:highlight w:val="none"/>
              </w:rPr>
              <w:t>1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项以上 。</w:t>
            </w:r>
          </w:p>
          <w:p>
            <w:pPr>
              <w:spacing w:line="240" w:lineRule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2. 掌握本技能领域检测技术或检测部门/实验室管理方法，处理过2项以上检测技术或管理中出现的较复杂的问题，或参加过2项以上检测技术改进工作、新技术的开发和推广应用工作，或向2人以上传授本技术领域的技能。</w:t>
            </w:r>
          </w:p>
          <w:p>
            <w:pPr>
              <w:spacing w:line="240" w:lineRule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3. 掌握先进的技术技能水平，形成先进的技术操作方法。</w:t>
            </w:r>
          </w:p>
          <w:p>
            <w:pPr>
              <w:spacing w:line="240" w:lineRule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4. 在降低原材料和能源消耗、提高质量、加强设备管理和维修、促进生产等工作中取得显著成绩。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7" w:hRule="atLeast"/>
        </w:trPr>
        <w:tc>
          <w:tcPr>
            <w:tcW w:w="694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</w:p>
        </w:tc>
        <w:tc>
          <w:tcPr>
            <w:tcW w:w="1487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</w:p>
        </w:tc>
        <w:tc>
          <w:tcPr>
            <w:tcW w:w="2283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工作业绩条件</w:t>
            </w:r>
          </w:p>
        </w:tc>
        <w:tc>
          <w:tcPr>
            <w:tcW w:w="10876" w:type="dxa"/>
            <w:vAlign w:val="center"/>
          </w:tcPr>
          <w:p>
            <w:pPr>
              <w:spacing w:line="240" w:lineRule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申报人须掌握本专业的基础理论知识和专业技术知识，具有独立完成一般性技术工作的实际能力，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eastAsia="zh-CN"/>
              </w:rPr>
              <w:t>能处理本专业范围内一般性技术难题，应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提交2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eastAsia="zh-CN"/>
              </w:rPr>
              <w:t>篇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体现其技术能力的工作报告、或技术工艺改进方案、或技术技能操作手册、或解决工作难题的案例报告，也可以提交相关专利、论文作为证明材料。申报人取得现职业资格后，还须具备下列条件之一：</w:t>
            </w:r>
          </w:p>
          <w:p>
            <w:pPr>
              <w:spacing w:line="240" w:lineRule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 xml:space="preserve">1. 获得省级及以上竞赛金、银 、铜牌或一等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二 等 、三等奖的选手或教练</w:t>
            </w:r>
            <w:r>
              <w:rPr>
                <w:rFonts w:hint="eastAsia" w:ascii="仿宋_GB2312" w:hAnsi="仿宋_GB2312" w:eastAsia="仿宋_GB2312" w:cs="仿宋_GB2312"/>
                <w:w w:val="80"/>
                <w:sz w:val="24"/>
                <w:szCs w:val="24"/>
                <w:highlight w:val="none"/>
              </w:rPr>
              <w:t xml:space="preserve">（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以公布文件为准）。</w:t>
            </w:r>
          </w:p>
          <w:p>
            <w:pPr>
              <w:spacing w:line="240" w:lineRule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2. 获得省级及以上珠宝贵金属技能优秀人才奖、行业岗位技术能手标兵等荣誉者。</w:t>
            </w:r>
          </w:p>
          <w:p>
            <w:pPr>
              <w:spacing w:line="240" w:lineRule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3. 参加新技术开发和推广应用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eastAsia="zh-CN"/>
              </w:rPr>
              <w:t>工作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  <w:t>2项以上，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eastAsia="zh-CN"/>
              </w:rPr>
              <w:t>并取得较显著成绩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，经工作单位或珠宝贵金属相关行业协会评价优秀。</w:t>
            </w:r>
          </w:p>
          <w:p>
            <w:pPr>
              <w:spacing w:line="240" w:lineRule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. 掌握先进的技术技能水平，形成先进的技术操作方法，被单位采纳，并编写操作手册、规程推广使用。</w:t>
            </w:r>
          </w:p>
          <w:p>
            <w:pPr>
              <w:spacing w:line="240" w:lineRule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. 在降低原材料和能源消耗、提高质量、加强设备管理和维修、促进生产等工作中取得显著成绩，被单位认可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eastAsia="zh-CN"/>
              </w:rPr>
              <w:t>并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受到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eastAsia="zh-CN"/>
              </w:rPr>
              <w:t>行业主管部门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表彰。</w:t>
            </w:r>
          </w:p>
          <w:p>
            <w:pPr>
              <w:spacing w:line="240" w:lineRule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7. 获得珠宝贵金属专业发明专利、或实用新型专利、或外观设计专利l项（前5名专利权人），专利成果应用或转化，取得显著的经济效益。</w:t>
            </w:r>
          </w:p>
        </w:tc>
      </w:tr>
    </w:tbl>
    <w:p>
      <w:pPr>
        <w:spacing w:line="360" w:lineRule="auto"/>
        <w:jc w:val="center"/>
        <w:rPr>
          <w:rFonts w:hint="eastAsia" w:ascii="仿宋_GB2312" w:hAnsi="仿宋_GB2312" w:eastAsia="仿宋_GB2312" w:cs="仿宋_GB2312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sz w:val="24"/>
          <w:szCs w:val="24"/>
          <w:highlight w:val="none"/>
        </w:rPr>
        <w:br w:type="page"/>
      </w:r>
    </w:p>
    <w:tbl>
      <w:tblPr>
        <w:tblStyle w:val="6"/>
        <w:tblW w:w="15408" w:type="dxa"/>
        <w:tblInd w:w="9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8"/>
        <w:gridCol w:w="1487"/>
        <w:gridCol w:w="2125"/>
        <w:gridCol w:w="110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8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5</w:t>
            </w:r>
          </w:p>
        </w:tc>
        <w:tc>
          <w:tcPr>
            <w:tcW w:w="1487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高级工程师</w:t>
            </w:r>
          </w:p>
        </w:tc>
        <w:tc>
          <w:tcPr>
            <w:tcW w:w="2125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资历条件</w:t>
            </w:r>
          </w:p>
        </w:tc>
        <w:tc>
          <w:tcPr>
            <w:tcW w:w="11018" w:type="dxa"/>
            <w:vAlign w:val="center"/>
          </w:tcPr>
          <w:p>
            <w:pPr>
              <w:spacing w:line="240" w:lineRule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取得贵金属首饰宝玉石检验高级技师职业技能等级后，从事对应专业技术技能工作4年以上。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0" w:hRule="atLeast"/>
        </w:trPr>
        <w:tc>
          <w:tcPr>
            <w:tcW w:w="778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</w:p>
        </w:tc>
        <w:tc>
          <w:tcPr>
            <w:tcW w:w="1487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</w:p>
        </w:tc>
        <w:tc>
          <w:tcPr>
            <w:tcW w:w="2125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工作能力</w:t>
            </w:r>
          </w:p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（经历）条件</w:t>
            </w:r>
          </w:p>
        </w:tc>
        <w:tc>
          <w:tcPr>
            <w:tcW w:w="11018" w:type="dxa"/>
            <w:vAlign w:val="center"/>
          </w:tcPr>
          <w:p>
            <w:pPr>
              <w:spacing w:line="240" w:lineRule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符合上述条件的申报人，每年必须完成本岗位所规定的专业技术技能工作任务，还须具备以下条件之一：</w:t>
            </w:r>
          </w:p>
          <w:p>
            <w:pPr>
              <w:spacing w:line="240" w:lineRule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1. 参加国家级技能比赛</w:t>
            </w:r>
            <w:r>
              <w:rPr>
                <w:rFonts w:hint="eastAsia" w:ascii="仿宋_GB2312" w:hAnsi="仿宋_GB2312" w:eastAsia="仿宋_GB2312" w:cs="仿宋_GB2312"/>
                <w:w w:val="85"/>
                <w:sz w:val="24"/>
                <w:szCs w:val="24"/>
                <w:highlight w:val="none"/>
              </w:rPr>
              <w:t>1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项以上。</w:t>
            </w:r>
          </w:p>
          <w:p>
            <w:pPr>
              <w:spacing w:line="240" w:lineRule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2. 具备技能绝招绝技，并在发掘整理和传授技术技能方面作出突出贡献。</w:t>
            </w:r>
          </w:p>
          <w:p>
            <w:pPr>
              <w:spacing w:line="240" w:lineRule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3. 参加本行业较高难度、较复杂的新工艺、新技术、新产品的研究开发2项以上，并得到推广应用和取得较好的效益。</w:t>
            </w:r>
          </w:p>
          <w:p>
            <w:pPr>
              <w:spacing w:line="240" w:lineRule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4. 主持或作为技术骨干参与过2项以上：大型检测项目，或解决疑难技术问题，或重大技术革新，实施效果良好。</w:t>
            </w:r>
          </w:p>
          <w:p>
            <w:pPr>
              <w:spacing w:line="240" w:lineRule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5. 掌握领先的技术技能水平，形成领先的技术操作方法。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0" w:hRule="atLeast"/>
        </w:trPr>
        <w:tc>
          <w:tcPr>
            <w:tcW w:w="778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</w:p>
        </w:tc>
        <w:tc>
          <w:tcPr>
            <w:tcW w:w="1487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</w:p>
        </w:tc>
        <w:tc>
          <w:tcPr>
            <w:tcW w:w="2125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工作业绩条件</w:t>
            </w:r>
          </w:p>
        </w:tc>
        <w:tc>
          <w:tcPr>
            <w:tcW w:w="11018" w:type="dxa"/>
            <w:vAlign w:val="center"/>
          </w:tcPr>
          <w:p>
            <w:pPr>
              <w:pStyle w:val="2"/>
              <w:spacing w:line="240" w:lineRule="auto"/>
              <w:ind w:left="0" w:right="183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eastAsia="zh-CN"/>
              </w:rPr>
              <w:t>申报人须全面掌握本专业的基础理论知识和专业技术知识，具有独立完成技术工作的实际能力，能处理本专业范围内技术难题，应提交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  <w:t>2篇体现其技术技能的工作报告、工艺改进方案或解决工作难题的案例，也可以提交相关专利、论文作为证明材料。申报人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eastAsia="zh-CN"/>
              </w:rPr>
              <w:t>取得现职业资格后，符合下列条件之一：</w:t>
            </w:r>
          </w:p>
          <w:p>
            <w:pPr>
              <w:pStyle w:val="2"/>
              <w:spacing w:line="240" w:lineRule="auto"/>
              <w:ind w:left="0" w:right="183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eastAsia="zh-CN"/>
              </w:rPr>
              <w:t>1. 获得国家级技能竞赛金、银、铜牌或一、二、三等奖的选手或教练（以公布文件为准）。</w:t>
            </w:r>
          </w:p>
          <w:p>
            <w:pPr>
              <w:pStyle w:val="2"/>
              <w:spacing w:line="240" w:lineRule="auto"/>
              <w:ind w:left="0" w:right="183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eastAsia="zh-CN"/>
              </w:rPr>
              <w:t>2. 获得中华技能大奖、全国技术能手或南粤技术能手等荣誉称号。</w:t>
            </w:r>
          </w:p>
          <w:p>
            <w:pPr>
              <w:pStyle w:val="2"/>
              <w:spacing w:line="240" w:lineRule="auto"/>
              <w:ind w:left="0" w:right="183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eastAsia="zh-CN"/>
              </w:rPr>
              <w:t>3. 担任国家级技能大师工作室负责人。</w:t>
            </w:r>
          </w:p>
          <w:p>
            <w:pPr>
              <w:pStyle w:val="2"/>
              <w:spacing w:line="240" w:lineRule="auto"/>
              <w:ind w:left="0" w:right="183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eastAsia="zh-CN"/>
              </w:rPr>
              <w:t>4. 享受省级以上政府特殊津贴的高技能人才。</w:t>
            </w:r>
          </w:p>
          <w:p>
            <w:pPr>
              <w:pStyle w:val="2"/>
              <w:spacing w:line="240" w:lineRule="auto"/>
              <w:ind w:left="0" w:right="183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eastAsia="zh-CN"/>
              </w:rPr>
              <w:t>5. 作为技术骨干参与开发新工艺、新产品，或推广应用国内外本专业新理论、新方法、新技术等2项以上，解决了本专业复杂技术问题，成果转化取得了明显社会经济效益，其技术成果经省级行业协会组织专家鉴定确认，或经立项部门鉴定验收。</w:t>
            </w:r>
          </w:p>
          <w:p>
            <w:pPr>
              <w:pStyle w:val="2"/>
              <w:spacing w:line="240" w:lineRule="auto"/>
              <w:ind w:left="0" w:right="183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eastAsia="zh-CN"/>
              </w:rPr>
              <w:t>6. 从事技术管理工作，主持大型检测项目并编制检测报告2项以上，经委托方认可。</w:t>
            </w:r>
          </w:p>
          <w:p>
            <w:pPr>
              <w:pStyle w:val="2"/>
              <w:spacing w:line="240" w:lineRule="auto"/>
              <w:ind w:left="0" w:right="183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eastAsia="zh-CN"/>
              </w:rPr>
              <w:t>7. 本专业领域科技项目，获得国家或省（部）级科学技术奖的完成人。</w:t>
            </w:r>
          </w:p>
          <w:p>
            <w:pPr>
              <w:pStyle w:val="2"/>
              <w:spacing w:line="240" w:lineRule="auto"/>
              <w:ind w:left="0" w:right="183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eastAsia="zh-CN"/>
              </w:rPr>
              <w:t>8. 市（厅）级科学技术奖一、二等奖1项或三等奖2项以上获奖项目的主要完成人（以个人奖励证书为准）。</w:t>
            </w:r>
          </w:p>
          <w:p>
            <w:pPr>
              <w:pStyle w:val="2"/>
              <w:spacing w:line="240" w:lineRule="auto"/>
              <w:ind w:left="0" w:right="183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eastAsia="zh-CN"/>
              </w:rPr>
              <w:t>9. 获得有较大价值的本专业发明专利1项（发明人），或获得有显著经济效益的本专业实用新型专利2项以上（专利权人）。</w:t>
            </w:r>
          </w:p>
          <w:p>
            <w:pPr>
              <w:pStyle w:val="2"/>
              <w:spacing w:line="240" w:lineRule="auto"/>
              <w:ind w:left="0" w:right="183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eastAsia="zh-CN"/>
              </w:rPr>
              <w:t>10. 作为主要参编者，参加了本技术领域的地方、行业、国家标准的编制1项。</w:t>
            </w:r>
          </w:p>
        </w:tc>
      </w:tr>
    </w:tbl>
    <w:p>
      <w:pPr>
        <w:spacing w:beforeLines="0" w:afterLines="0" w:line="500" w:lineRule="exact"/>
        <w:rPr>
          <w:rFonts w:hint="eastAsia" w:ascii="仿宋_GB2312" w:hAnsi="仿宋_GB2312" w:eastAsia="仿宋_GB2312" w:cs="仿宋_GB2312"/>
          <w:b/>
          <w:bCs/>
          <w:sz w:val="24"/>
          <w:szCs w:val="24"/>
          <w:highlight w:val="none"/>
          <w:lang w:eastAsia="zh-CN"/>
        </w:rPr>
      </w:pPr>
    </w:p>
    <w:sectPr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trackRevisions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346F"/>
    <w:rsid w:val="00051603"/>
    <w:rsid w:val="00053FA1"/>
    <w:rsid w:val="000B346F"/>
    <w:rsid w:val="000E2528"/>
    <w:rsid w:val="001064CE"/>
    <w:rsid w:val="00160027"/>
    <w:rsid w:val="00172EE7"/>
    <w:rsid w:val="001906EC"/>
    <w:rsid w:val="00217F64"/>
    <w:rsid w:val="00223958"/>
    <w:rsid w:val="002663DA"/>
    <w:rsid w:val="003A2E1F"/>
    <w:rsid w:val="003E690D"/>
    <w:rsid w:val="00425CA1"/>
    <w:rsid w:val="00437E0B"/>
    <w:rsid w:val="00453597"/>
    <w:rsid w:val="00455505"/>
    <w:rsid w:val="0046204E"/>
    <w:rsid w:val="00463D94"/>
    <w:rsid w:val="004915B9"/>
    <w:rsid w:val="004E0AED"/>
    <w:rsid w:val="004E2BB2"/>
    <w:rsid w:val="004F696D"/>
    <w:rsid w:val="0050110C"/>
    <w:rsid w:val="005A46AC"/>
    <w:rsid w:val="005C0908"/>
    <w:rsid w:val="005C6A27"/>
    <w:rsid w:val="00636E08"/>
    <w:rsid w:val="00647468"/>
    <w:rsid w:val="006D1212"/>
    <w:rsid w:val="00700CB4"/>
    <w:rsid w:val="00713E5C"/>
    <w:rsid w:val="0072000F"/>
    <w:rsid w:val="00734296"/>
    <w:rsid w:val="00737BA3"/>
    <w:rsid w:val="00780842"/>
    <w:rsid w:val="007917AF"/>
    <w:rsid w:val="00796F49"/>
    <w:rsid w:val="007C2EF1"/>
    <w:rsid w:val="007D0FFF"/>
    <w:rsid w:val="00813F67"/>
    <w:rsid w:val="00843DB5"/>
    <w:rsid w:val="0084412F"/>
    <w:rsid w:val="008605F7"/>
    <w:rsid w:val="00861386"/>
    <w:rsid w:val="0094119A"/>
    <w:rsid w:val="009D494A"/>
    <w:rsid w:val="009D504E"/>
    <w:rsid w:val="00A06F5D"/>
    <w:rsid w:val="00A94779"/>
    <w:rsid w:val="00A976B2"/>
    <w:rsid w:val="00AA0B38"/>
    <w:rsid w:val="00AE7153"/>
    <w:rsid w:val="00B61019"/>
    <w:rsid w:val="00B9250C"/>
    <w:rsid w:val="00BC2B35"/>
    <w:rsid w:val="00C9605F"/>
    <w:rsid w:val="00CC6233"/>
    <w:rsid w:val="00D9207B"/>
    <w:rsid w:val="00DA410D"/>
    <w:rsid w:val="00DD2BFB"/>
    <w:rsid w:val="00DF6266"/>
    <w:rsid w:val="00E322D6"/>
    <w:rsid w:val="00E623C6"/>
    <w:rsid w:val="00E8308C"/>
    <w:rsid w:val="00F329B1"/>
    <w:rsid w:val="00FA6625"/>
    <w:rsid w:val="00FD5A76"/>
    <w:rsid w:val="00FD7B0C"/>
    <w:rsid w:val="00FF4D2D"/>
    <w:rsid w:val="059E7718"/>
    <w:rsid w:val="1EF774CB"/>
    <w:rsid w:val="1F5A7108"/>
    <w:rsid w:val="1F5C7129"/>
    <w:rsid w:val="22753861"/>
    <w:rsid w:val="292F4E5C"/>
    <w:rsid w:val="2E3222D7"/>
    <w:rsid w:val="30F15395"/>
    <w:rsid w:val="36CF3478"/>
    <w:rsid w:val="39F658E7"/>
    <w:rsid w:val="3C561969"/>
    <w:rsid w:val="480F0084"/>
    <w:rsid w:val="4865062F"/>
    <w:rsid w:val="4D10487D"/>
    <w:rsid w:val="52C70101"/>
    <w:rsid w:val="56561C6A"/>
    <w:rsid w:val="666A6E2C"/>
    <w:rsid w:val="699B093D"/>
    <w:rsid w:val="6DCB15D7"/>
    <w:rsid w:val="6E247547"/>
    <w:rsid w:val="700332B3"/>
    <w:rsid w:val="734769AA"/>
    <w:rsid w:val="73BA0FB7"/>
    <w:rsid w:val="73E33D28"/>
    <w:rsid w:val="784C6A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9"/>
    <w:qFormat/>
    <w:uiPriority w:val="1"/>
    <w:pPr>
      <w:ind w:left="139"/>
      <w:jc w:val="left"/>
    </w:pPr>
    <w:rPr>
      <w:rFonts w:ascii="宋体" w:hAnsi="宋体" w:eastAsia="宋体"/>
      <w:kern w:val="0"/>
      <w:sz w:val="30"/>
      <w:szCs w:val="30"/>
      <w:lang w:eastAsia="en-US"/>
    </w:r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8">
    <w:name w:val="Table Paragraph"/>
    <w:basedOn w:val="1"/>
    <w:qFormat/>
    <w:uiPriority w:val="1"/>
    <w:pPr>
      <w:jc w:val="left"/>
    </w:pPr>
    <w:rPr>
      <w:kern w:val="0"/>
      <w:sz w:val="22"/>
      <w:lang w:eastAsia="en-US"/>
    </w:rPr>
  </w:style>
  <w:style w:type="character" w:customStyle="1" w:styleId="9">
    <w:name w:val="正文文本 Char"/>
    <w:basedOn w:val="7"/>
    <w:link w:val="2"/>
    <w:qFormat/>
    <w:uiPriority w:val="1"/>
    <w:rPr>
      <w:rFonts w:ascii="宋体" w:hAnsi="宋体" w:eastAsia="宋体"/>
      <w:kern w:val="0"/>
      <w:sz w:val="30"/>
      <w:szCs w:val="30"/>
      <w:lang w:eastAsia="en-US"/>
    </w:rPr>
  </w:style>
  <w:style w:type="character" w:customStyle="1" w:styleId="10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11">
    <w:name w:val="页脚 Char"/>
    <w:basedOn w:val="7"/>
    <w:link w:val="3"/>
    <w:semiHidden/>
    <w:qFormat/>
    <w:uiPriority w:val="99"/>
    <w:rPr>
      <w:sz w:val="18"/>
      <w:szCs w:val="18"/>
    </w:rPr>
  </w:style>
  <w:style w:type="paragraph" w:customStyle="1" w:styleId="12">
    <w:name w:val="Heading 1"/>
    <w:basedOn w:val="1"/>
    <w:qFormat/>
    <w:uiPriority w:val="1"/>
    <w:pPr>
      <w:ind w:left="120"/>
      <w:jc w:val="left"/>
      <w:outlineLvl w:val="1"/>
    </w:pPr>
    <w:rPr>
      <w:rFonts w:ascii="宋体" w:hAnsi="宋体" w:eastAsia="宋体"/>
      <w:kern w:val="0"/>
      <w:sz w:val="33"/>
      <w:szCs w:val="33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4</Pages>
  <Words>2419</Words>
  <Characters>2460</Characters>
  <Lines>18</Lines>
  <Paragraphs>5</Paragraphs>
  <TotalTime>0</TotalTime>
  <ScaleCrop>false</ScaleCrop>
  <LinksUpToDate>false</LinksUpToDate>
  <CharactersWithSpaces>2497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2020-10-21T11:57:00Z</dcterms:created>
  <dc:creator>User</dc:creator>
  <cp:lastModifiedBy>星河予與</cp:lastModifiedBy>
  <cp:lastPrinted>2021-02-02T03:06:00Z</cp:lastPrinted>
  <dcterms:modified xsi:type="dcterms:W3CDTF">2023-07-15T07:09:29Z</dcterms:modified>
  <cp:revision>51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F2EF810E3E824811963A72163E94C550_13</vt:lpwstr>
  </property>
</Properties>
</file>